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9cf8" w14:textId="7f19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2010 года № 220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18 марта 2011 года N 231. Зарегистрировано управлением юстиции Уланского района Департамента юстиции Восточно-Казахстанской области 30 марта 2011 года за N 5-17-146. Утратило силу (письмо Уланского районного маслихата от 23 декабря 2011 года № 214)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Уланского районного маслихата от 23.12.2011 № 214).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марта 2011 года № 27/336-IV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№ 2543 от 17 марта 2011 года, опубликовано в газете «Рудный Алтай» № 2 от 10.01.2011 года, № 3 от 12.01.2011 года и № 4 от 14.01.2011 года, в газете «Дидар» № 2 от 08.01.2011 года, № 3 от 11.01.2011 года и № 4 от 13.01.2011 года)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 29 декабря 2010 года № 220 «О районном бюджете на 2011-2013 годы» (зарегистрировано в Реестре государственной регистрации нормативных правовых актов за № 5-17-143, опубликовано в газете «Уланские зори» от 8 января 2011 года № 2, от 26 января 2011 года № 5, от 13 января 2011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2010-2013 годы, в том числе на 2011 год согласно приложению №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- 2928817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2297121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2937897,7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15260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-58346,7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58346,7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 «48914 тысяч тенге» заменить цифрами «52775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«96997 тысяч тенге» заменить цифрами «106407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«38722 тысяч тенге» заменить цифрами «41502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текущий ремонт объектов образования - 56673,0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восьмым, девятым и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«текущий ремонт наружных сетей канализации «Средней школы имени Т. Тохтарова» – 2307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электронных учебников - 2100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 эстафеты «Расцвет села – расцвет Казахстана» – 2223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«29003 тысяч тенге» заменить цифрами «31331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«5220 тысяч тенге» заменить цифрами «5508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«22340 тысяч тенге» заменить цифрами «22126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«3064 тысяч тенге» заменить цифрами «2850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«10093 тысяч тенге – на увеличение размера доплаты за квалификационную категорию, учителям школ и воспитателям дошкольных организаций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Предусмотреть в районном бюджете целевые текущие трансферты из республиканского бюджета на реализацию следующих мероприятий в рамках «</w:t>
      </w:r>
      <w:r>
        <w:rPr>
          <w:rFonts w:ascii="Times New Roman"/>
          <w:b w:val="false"/>
          <w:i w:val="false"/>
          <w:color w:val="000000"/>
          <w:sz w:val="28"/>
        </w:rPr>
        <w:t>Программа занятости 2020</w:t>
      </w:r>
      <w:r>
        <w:rPr>
          <w:rFonts w:ascii="Times New Roman"/>
          <w:b w:val="false"/>
          <w:i w:val="false"/>
          <w:color w:val="000000"/>
          <w:sz w:val="28"/>
        </w:rPr>
        <w:t>» в сумме 16203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9724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– 6479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Предусмотреть в районном бюджете целевые трансферты на развитие из республиканского бюджета на развитие инженерно-коммуникационной инфраструктуры на реализацию мероприятий «Программа занятости 2020» в сумме 31000 тысяч тенге в рамках содействия развитию предпринимательства на селе.»;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пункте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«13300 тысяч тенге» заменить цифрами «15260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«1300 тысяч тенге» заменить цифрами «1960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«КГП «Ұлан мал дәрігер» - 1300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приложения 1, 6, 7, 8 к указанному решению изложить в новой редакции согласно приложениям 1, 2, 3, 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Барков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Турсунбаев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231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778"/>
        <w:gridCol w:w="544"/>
        <w:gridCol w:w="693"/>
        <w:gridCol w:w="8830"/>
        <w:gridCol w:w="235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уточненная на 18.03.2011 г.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2928817,0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603774,0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275361,0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275361,0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доходов,облагаемых у источника выплаты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250874,0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156679,0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156679,0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156679,0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151283,0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97967,0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95417,0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11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11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34283,0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11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9928,0</w:t>
            </w:r>
          </w:p>
        </w:tc>
      </w:tr>
      <w:tr>
        <w:trPr>
          <w:trHeight w:val="16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</w:p>
        </w:tc>
      </w:tr>
      <w:tr>
        <w:trPr>
          <w:trHeight w:val="20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17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 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16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4514,0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жилища из жилищного фонда, находящихся в коммунальной собственности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19394,0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19394,0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19327,0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2297121,0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2297121,0</w:t>
            </w:r>
          </w:p>
        </w:tc>
      </w:tr>
      <w:tr>
        <w:trPr>
          <w:trHeight w:val="2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2297121,0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226914,0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378989,0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578"/>
        <w:gridCol w:w="578"/>
        <w:gridCol w:w="773"/>
        <w:gridCol w:w="773"/>
        <w:gridCol w:w="773"/>
        <w:gridCol w:w="7568"/>
        <w:gridCol w:w="2381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2937897,7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215957,0</w:t>
            </w:r>
          </w:p>
        </w:tc>
      </w:tr>
      <w:tr>
        <w:trPr>
          <w:trHeight w:val="11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197484,0</w:t>
            </w:r>
          </w:p>
        </w:tc>
      </w:tr>
      <w:tr>
        <w:trPr>
          <w:trHeight w:val="7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15023,0</w:t>
            </w:r>
          </w:p>
        </w:tc>
      </w:tr>
      <w:tr>
        <w:trPr>
          <w:trHeight w:val="4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53325,0</w:t>
            </w:r>
          </w:p>
        </w:tc>
      </w:tr>
      <w:tr>
        <w:trPr>
          <w:trHeight w:val="7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50324,0</w:t>
            </w:r>
          </w:p>
        </w:tc>
      </w:tr>
      <w:tr>
        <w:trPr>
          <w:trHeight w:val="4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3001,0</w:t>
            </w:r>
          </w:p>
        </w:tc>
      </w:tr>
      <w:tr>
        <w:trPr>
          <w:trHeight w:val="11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128976,0</w:t>
            </w:r>
          </w:p>
        </w:tc>
      </w:tr>
      <w:tr>
        <w:trPr>
          <w:trHeight w:val="15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128976,0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7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17988,0</w:t>
            </w:r>
          </w:p>
        </w:tc>
      </w:tr>
      <w:tr>
        <w:trPr>
          <w:trHeight w:val="21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4947,0</w:t>
            </w:r>
          </w:p>
        </w:tc>
      </w:tr>
      <w:tr>
        <w:trPr>
          <w:trHeight w:val="11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19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9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5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1638191,0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113627,0</w:t>
            </w:r>
          </w:p>
        </w:tc>
      </w:tr>
      <w:tr>
        <w:trPr>
          <w:trHeight w:val="8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113627,0</w:t>
            </w:r>
          </w:p>
        </w:tc>
      </w:tr>
      <w:tr>
        <w:trPr>
          <w:trHeight w:val="7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103534,0</w:t>
            </w:r>
          </w:p>
        </w:tc>
      </w:tr>
      <w:tr>
        <w:trPr>
          <w:trHeight w:val="10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1476365,0</w:t>
            </w:r>
          </w:p>
        </w:tc>
      </w:tr>
      <w:tr>
        <w:trPr>
          <w:trHeight w:val="8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1476052,0</w:t>
            </w:r>
          </w:p>
        </w:tc>
      </w:tr>
      <w:tr>
        <w:trPr>
          <w:trHeight w:val="4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1469203,0</w:t>
            </w:r>
          </w:p>
        </w:tc>
      </w:tr>
      <w:tr>
        <w:trPr>
          <w:trHeight w:val="4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48199,0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14648,0</w:t>
            </w:r>
          </w:p>
        </w:tc>
      </w:tr>
      <w:tr>
        <w:trPr>
          <w:trHeight w:val="4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14648,0</w:t>
            </w:r>
          </w:p>
        </w:tc>
      </w:tr>
      <w:tr>
        <w:trPr>
          <w:trHeight w:val="8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33551,0</w:t>
            </w:r>
          </w:p>
        </w:tc>
      </w:tr>
      <w:tr>
        <w:trPr>
          <w:trHeight w:val="9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12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10617,0</w:t>
            </w:r>
          </w:p>
        </w:tc>
      </w:tr>
      <w:tr>
        <w:trPr>
          <w:trHeight w:val="12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1512,0</w:t>
            </w:r>
          </w:p>
        </w:tc>
      </w:tr>
      <w:tr>
        <w:trPr>
          <w:trHeight w:val="11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4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243964,0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218978,0</w:t>
            </w:r>
          </w:p>
        </w:tc>
      </w:tr>
      <w:tr>
        <w:trPr>
          <w:trHeight w:val="6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218978,0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3258,0</w:t>
            </w:r>
          </w:p>
        </w:tc>
      </w:tr>
      <w:tr>
        <w:trPr>
          <w:trHeight w:val="7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</w:p>
        </w:tc>
      </w:tr>
      <w:tr>
        <w:trPr>
          <w:trHeight w:val="13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18071,0</w:t>
            </w:r>
          </w:p>
        </w:tc>
      </w:tr>
      <w:tr>
        <w:trPr>
          <w:trHeight w:val="7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49752,0</w:t>
            </w:r>
          </w:p>
        </w:tc>
      </w:tr>
      <w:tr>
        <w:trPr>
          <w:trHeight w:val="4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41502,0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</w:p>
        </w:tc>
      </w:tr>
      <w:tr>
        <w:trPr>
          <w:trHeight w:val="7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24971,0</w:t>
            </w:r>
          </w:p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19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Обеспечение деятельности центров занятости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</w:p>
        </w:tc>
      </w:tr>
      <w:tr>
        <w:trPr>
          <w:trHeight w:val="4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24986,0</w:t>
            </w:r>
          </w:p>
        </w:tc>
      </w:tr>
      <w:tr>
        <w:trPr>
          <w:trHeight w:val="10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23086,0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437992,0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15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4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381523,0</w:t>
            </w:r>
          </w:p>
        </w:tc>
      </w:tr>
      <w:tr>
        <w:trPr>
          <w:trHeight w:val="8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7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15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14399,0</w:t>
            </w:r>
          </w:p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14399,0</w:t>
            </w:r>
          </w:p>
        </w:tc>
      </w:tr>
      <w:tr>
        <w:trPr>
          <w:trHeight w:val="7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364574,0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364574,0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313191,0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51383,0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22469,0</w:t>
            </w:r>
          </w:p>
        </w:tc>
      </w:tr>
      <w:tr>
        <w:trPr>
          <w:trHeight w:val="7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8939,0</w:t>
            </w:r>
          </w:p>
        </w:tc>
      </w:tr>
      <w:tr>
        <w:trPr>
          <w:trHeight w:val="4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15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4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216025,0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154530,0</w:t>
            </w:r>
          </w:p>
        </w:tc>
      </w:tr>
      <w:tr>
        <w:trPr>
          <w:trHeight w:val="11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7370,0</w:t>
            </w:r>
          </w:p>
        </w:tc>
      </w:tr>
      <w:tr>
        <w:trPr>
          <w:trHeight w:val="7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7370,0</w:t>
            </w:r>
          </w:p>
        </w:tc>
      </w:tr>
      <w:tr>
        <w:trPr>
          <w:trHeight w:val="4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38209,0</w:t>
            </w:r>
          </w:p>
        </w:tc>
      </w:tr>
      <w:tr>
        <w:trPr>
          <w:trHeight w:val="11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38209,0</w:t>
            </w:r>
          </w:p>
        </w:tc>
      </w:tr>
      <w:tr>
        <w:trPr>
          <w:trHeight w:val="7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4866,0</w:t>
            </w:r>
          </w:p>
        </w:tc>
      </w:tr>
      <w:tr>
        <w:trPr>
          <w:trHeight w:val="3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7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15916,0</w:t>
            </w:r>
          </w:p>
        </w:tc>
      </w:tr>
      <w:tr>
        <w:trPr>
          <w:trHeight w:val="7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15916,0</w:t>
            </w:r>
          </w:p>
        </w:tc>
      </w:tr>
      <w:tr>
        <w:trPr>
          <w:trHeight w:val="18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2989,0</w:t>
            </w:r>
          </w:p>
        </w:tc>
      </w:tr>
      <w:tr>
        <w:trPr>
          <w:trHeight w:val="118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47525,0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15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7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7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7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15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11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31331,0</w:t>
            </w:r>
          </w:p>
        </w:tc>
      </w:tr>
      <w:tr>
        <w:trPr>
          <w:trHeight w:val="7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20755,0</w:t>
            </w:r>
          </w:p>
        </w:tc>
      </w:tr>
      <w:tr>
        <w:trPr>
          <w:trHeight w:val="7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20755,0</w:t>
            </w:r>
          </w:p>
        </w:tc>
      </w:tr>
      <w:tr>
        <w:trPr>
          <w:trHeight w:val="14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7736,0</w:t>
            </w:r>
          </w:p>
        </w:tc>
      </w:tr>
      <w:tr>
        <w:trPr>
          <w:trHeight w:val="12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53325,0</w:t>
            </w:r>
          </w:p>
        </w:tc>
      </w:tr>
      <w:tr>
        <w:trPr>
          <w:trHeight w:val="15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51914,0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51914,0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4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4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2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</w:p>
        </w:tc>
      </w:tr>
      <w:tr>
        <w:trPr>
          <w:trHeight w:val="10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7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7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</w:tr>
      <w:tr>
        <w:trPr>
          <w:trHeight w:val="11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13982,0</w:t>
            </w:r>
          </w:p>
        </w:tc>
      </w:tr>
      <w:tr>
        <w:trPr>
          <w:trHeight w:val="18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13982,0</w:t>
            </w:r>
          </w:p>
        </w:tc>
      </w:tr>
      <w:tr>
        <w:trPr>
          <w:trHeight w:val="3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1182,7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1182,7</w:t>
            </w:r>
          </w:p>
        </w:tc>
      </w:tr>
      <w:tr>
        <w:trPr>
          <w:trHeight w:val="6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1182,7</w:t>
            </w:r>
          </w:p>
        </w:tc>
      </w:tr>
      <w:tr>
        <w:trPr>
          <w:trHeight w:val="7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1182,7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1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5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5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109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-58346,7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58346,7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7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7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24340,7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24340,7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24340,7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Г. Курмашева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231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702"/>
        <w:gridCol w:w="4068"/>
        <w:gridCol w:w="2403"/>
        <w:gridCol w:w="2340"/>
        <w:gridCol w:w="1551"/>
      </w:tblGrid>
      <w:tr>
        <w:trPr>
          <w:trHeight w:val="36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123014000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2612"/>
        <w:gridCol w:w="4598"/>
        <w:gridCol w:w="3394"/>
        <w:gridCol w:w="2487"/>
      </w:tblGrid>
      <w:tr>
        <w:trPr>
          <w:trHeight w:val="42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Уланского района                           Г. Курмашева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231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458 "Отдел</w:t>
      </w:r>
      <w:r>
        <w:br/>
      </w:r>
      <w:r>
        <w:rPr>
          <w:rFonts w:ascii="Times New Roman"/>
          <w:b/>
          <w:i w:val="false"/>
          <w:color w:val="000000"/>
        </w:rPr>
        <w:t>
жилищно-коммунального хозяйства, пассажирского транспорта и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района (города областного значения)"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4471"/>
        <w:gridCol w:w="3436"/>
        <w:gridCol w:w="3648"/>
        <w:gridCol w:w="1388"/>
      </w:tblGrid>
      <w:tr>
        <w:trPr>
          <w:trHeight w:val="315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458012000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458023015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7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62239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Уланского района                           Г. Курмашева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231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9491"/>
        <w:gridCol w:w="2653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алқа","Күміс алқа"или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Уланского района                           Г. Курмашева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