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007a" w14:textId="1a40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22 декабря 2011 года N 33-353-IV. Зарегистрировано Управлением юстиции Урджарского района Департамента юстиции Восточно-Казахстанской области 29 декабря 2011 года за N 5-18-137. Прекращено действие по истечении срока действия (письмо Урджарского районного маслихата от 21 декабря 2012 года № 187-03/12)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Урджарского районного маслихата от 21.12.2012 № 187-03/12).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34/397-IV от 08 декабря 2011 года «Об областном бюджете на 2012-2014 годы» (зарегистрировано в Реестре государственной регистрации нормативных правовых актов за № 2560 от 21 декабря 2011 года) 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5 165 767,8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4 413 364,1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5 245 872,6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04 «Образование» 3 294 269,1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06 «Социальная помощь и социальное обеспечение» 386 347,0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«Жилищно-коммунальное хозяйство» 361 120,4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10 «Сельское, водное, лесное, рыбное хозяйство, особо охраняемые природные территории, охрана окружающей среды и животного мира, земельные отношения» 134 787,0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24 168,0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-104 272,8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104 272,8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Урджарского районного маслихата от 05.03.2012 </w:t>
      </w:r>
      <w:r>
        <w:rPr>
          <w:rFonts w:ascii="Times New Roman"/>
          <w:b w:val="false"/>
          <w:i w:val="false"/>
          <w:color w:val="000000"/>
          <w:sz w:val="28"/>
        </w:rPr>
        <w:t>№ 2-13/V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13.04.2012 </w:t>
      </w:r>
      <w:r>
        <w:rPr>
          <w:rFonts w:ascii="Times New Roman"/>
          <w:b w:val="false"/>
          <w:i w:val="false"/>
          <w:color w:val="000000"/>
          <w:sz w:val="28"/>
        </w:rPr>
        <w:t>№ 3-22/V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09.07.2012 </w:t>
      </w:r>
      <w:r>
        <w:rPr>
          <w:rFonts w:ascii="Times New Roman"/>
          <w:b w:val="false"/>
          <w:i w:val="false"/>
          <w:color w:val="000000"/>
          <w:sz w:val="28"/>
        </w:rPr>
        <w:t>№ 4-36/V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25.09.2012 </w:t>
      </w:r>
      <w:r>
        <w:rPr>
          <w:rFonts w:ascii="Times New Roman"/>
          <w:b w:val="false"/>
          <w:i w:val="false"/>
          <w:color w:val="000000"/>
          <w:sz w:val="28"/>
        </w:rPr>
        <w:t>№ 6-55/V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22.11.2012 </w:t>
      </w:r>
      <w:r>
        <w:rPr>
          <w:rFonts w:ascii="Times New Roman"/>
          <w:b w:val="false"/>
          <w:i w:val="false"/>
          <w:color w:val="000000"/>
          <w:sz w:val="28"/>
        </w:rPr>
        <w:t>№ 7-63/V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>№ 8-68/V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2012 год в сумме 13 700,0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программ развития бюджета района 2012 года, направленных на реализацию бюджетных инвестиционных проектов 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программ, не подлежащих секвестру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33-353-IV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Урджарского районного маслихата от 10.12.2012 </w:t>
      </w:r>
      <w:r>
        <w:rPr>
          <w:rFonts w:ascii="Times New Roman"/>
          <w:b w:val="false"/>
          <w:i w:val="false"/>
          <w:color w:val="ff0000"/>
          <w:sz w:val="28"/>
        </w:rPr>
        <w:t>№ 8-68/V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672"/>
        <w:gridCol w:w="776"/>
        <w:gridCol w:w="8897"/>
        <w:gridCol w:w="1950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5165767,8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736437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334767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334767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129802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65676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3153,7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4413364,1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4413364,1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4413364,1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78"/>
        <w:gridCol w:w="689"/>
        <w:gridCol w:w="755"/>
        <w:gridCol w:w="8006"/>
        <w:gridCol w:w="208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5245872,6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486119,7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438978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</w:t>
            </w:r>
          </w:p>
        </w:tc>
      </w:tr>
      <w:tr>
        <w:trPr>
          <w:trHeight w:val="9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120269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94992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297940</w:t>
            </w:r>
          </w:p>
        </w:tc>
      </w:tr>
      <w:tr>
        <w:trPr>
          <w:trHeight w:val="12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258523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27393,7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27393,7</w:t>
            </w:r>
          </w:p>
        </w:tc>
      </w:tr>
      <w:tr>
        <w:trPr>
          <w:trHeight w:val="16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23856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2363,7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16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8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12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3294269,1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120721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120721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8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104721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2906705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2902752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2767312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16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1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72964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266843,1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244523,1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12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15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39155</w:t>
            </w:r>
          </w:p>
        </w:tc>
      </w:tr>
      <w:tr>
        <w:trPr>
          <w:trHeight w:val="18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31196,1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125624</w:t>
            </w:r>
          </w:p>
        </w:tc>
      </w:tr>
      <w:tr>
        <w:trPr>
          <w:trHeight w:val="8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319501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319501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66457</w:t>
            </w:r>
          </w:p>
        </w:tc>
      </w:tr>
      <w:tr>
        <w:trPr>
          <w:trHeight w:val="20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79331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49256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72080</w:t>
            </w:r>
          </w:p>
        </w:tc>
      </w:tr>
      <w:tr>
        <w:trPr>
          <w:trHeight w:val="20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66846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66846</w:t>
            </w:r>
          </w:p>
        </w:tc>
      </w:tr>
      <w:tr>
        <w:trPr>
          <w:trHeight w:val="13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361120,4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84706</w:t>
            </w:r>
          </w:p>
        </w:tc>
      </w:tr>
      <w:tr>
        <w:trPr>
          <w:trHeight w:val="12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73037</w:t>
            </w:r>
          </w:p>
        </w:tc>
      </w:tr>
      <w:tr>
        <w:trPr>
          <w:trHeight w:val="12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207046,4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207046,4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177209,4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99871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99871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99871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44716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</w:p>
        </w:tc>
      </w:tr>
      <w:tr>
        <w:trPr>
          <w:trHeight w:val="8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</w:t>
            </w:r>
          </w:p>
        </w:tc>
      </w:tr>
      <w:tr>
        <w:trPr>
          <w:trHeight w:val="12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9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26708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18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1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213542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207106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202566</w:t>
            </w:r>
          </w:p>
        </w:tc>
      </w:tr>
      <w:tr>
        <w:trPr>
          <w:trHeight w:val="11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181615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14954,7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14954,7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14954,7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8232,4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5044,3</w:t>
            </w:r>
          </w:p>
        </w:tc>
      </w:tr>
      <w:tr>
        <w:trPr>
          <w:trHeight w:val="15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-104272,8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104272,8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33-353-IV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2012 года,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бюджетных инвестиционных проектов 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Урджарского районного маслихата от 25.09.2012 </w:t>
      </w:r>
      <w:r>
        <w:rPr>
          <w:rFonts w:ascii="Times New Roman"/>
          <w:b w:val="false"/>
          <w:i w:val="false"/>
          <w:color w:val="ff0000"/>
          <w:sz w:val="28"/>
        </w:rPr>
        <w:t>№ 6-55/V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46"/>
        <w:gridCol w:w="759"/>
        <w:gridCol w:w="849"/>
        <w:gridCol w:w="8602"/>
        <w:gridCol w:w="144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1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на 320 мест для школы в с. Урджар Урджарского района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строительство школ в с. Сегизбай на 80 мест, в с. Баркытбел на 130 мест, в с. Кызыл ту на 130 мест и на строительство детского сада в с. Маканчи на 280 мест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ПСД для строительство жилого дома в с. Таскескен Урджарского района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ПСД для строительство жилого дома в с. Маканчи Урджарского района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1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10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ПСД водопроводов в с. Благодарное, Кокозек и Бахты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33-353-IV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696"/>
        <w:gridCol w:w="696"/>
        <w:gridCol w:w="334"/>
        <w:gridCol w:w="9804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33-353-IV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"/>
        <w:gridCol w:w="472"/>
        <w:gridCol w:w="9516"/>
        <w:gridCol w:w="1709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4377173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652909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5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3667627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3667627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08"/>
        <w:gridCol w:w="835"/>
        <w:gridCol w:w="814"/>
        <w:gridCol w:w="7976"/>
        <w:gridCol w:w="182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4377173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462968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420496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107484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2860470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2782441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2778668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2740963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61604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61604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9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269862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38928</w:t>
            </w:r>
          </w:p>
        </w:tc>
      </w:tr>
      <w:tr>
        <w:trPr>
          <w:trHeight w:val="15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89880</w:t>
            </w:r>
          </w:p>
        </w:tc>
      </w:tr>
      <w:tr>
        <w:trPr>
          <w:trHeight w:val="18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</w:t>
            </w:r>
          </w:p>
        </w:tc>
      </w:tr>
      <w:tr>
        <w:trPr>
          <w:trHeight w:val="12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40539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40539</w:t>
            </w:r>
          </w:p>
        </w:tc>
      </w:tr>
      <w:tr>
        <w:trPr>
          <w:trHeight w:val="12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107159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</w:tr>
      <w:tr>
        <w:trPr>
          <w:trHeight w:val="12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</w:p>
        </w:tc>
      </w:tr>
      <w:tr>
        <w:trPr>
          <w:trHeight w:val="9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12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18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200781</w:t>
            </w:r>
          </w:p>
        </w:tc>
      </w:tr>
      <w:tr>
        <w:trPr>
          <w:trHeight w:val="9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200781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57403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42549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34267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</w:tr>
      <w:tr>
        <w:trPr>
          <w:trHeight w:val="12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33-353-IV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52"/>
        <w:gridCol w:w="531"/>
        <w:gridCol w:w="9419"/>
        <w:gridCol w:w="1708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4462695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674909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5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3731149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3731149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18"/>
        <w:gridCol w:w="782"/>
        <w:gridCol w:w="931"/>
        <w:gridCol w:w="7849"/>
        <w:gridCol w:w="182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4462695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469968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427496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107484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238652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57272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2885470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2782441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2778668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2740963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</w:t>
            </w:r>
          </w:p>
        </w:tc>
      </w:tr>
      <w:tr>
        <w:trPr>
          <w:trHeight w:val="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86604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61604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5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269862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40539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107159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200781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200781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42549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34267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