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854c" w14:textId="b178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27 декабря 2010 года № 34/2-IV 
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30 сентября 2011 года N 39/6-IV. Зарегистрировано Управлением юстиции Шемонаихинского района Департамента юстиции Восточно-Казахстанской области 05 октября 2011 года за N 5-19-155. Прекращено действие по истечении срока действия (письмо Шемонаихинского районного маслихата от 30 декабря 2011 года № 245)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Прекращено действие по истечении срока действия (письмо Шемонаихинского районного маслихата от 30.12.2011 № 245).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сентября 2011 года № 32/379-IV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от 27 сентября 2011 года за № 2555)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2010 года № 34/2- IV «О районном бюджете на 2011-2013 годы» (зарегистрировано в Реестре государственной регистрации нормативных правовых актов за № 5-19-137, опубликовано в газете «Уба-Информ» от 14 января 2011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2 397 362,2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989 150,2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2 423 708,5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17 212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- 31 268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- 74826,3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- 74826,3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- 13 058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- 62 065,3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2011 год в сумме 2 200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4) и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16 896 тысяч тенге -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542 тысяч тенге - на оказание материальной помощи пенсионерам, имеющим заслуги перед областью;»;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3 448 тысяч тенге - для обучения детей из малообеспеченных семей в высших учебных заведениях (стоимость обучения, стипендии, проживание в общежитии);»;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11 286,2 тысяч тенге - 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п. Первомайский.»;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13 058 тысяч тенге - для реализации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5),6)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услуги по обеспечению деятельности акима района в городе, города районного значения, поселка, аула (села) в сумме 108 736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на капитальные расходы государственных органов в сумме 872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организацию подвоза учащихся до школы и обратно в сельской местности в сумме 685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освещение улиц населенных пунктов в сумме 44 613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 обеспечение санитарии населенных пунктов в сумме 7 341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на содержание мест захоронений и погребение безродных в сумме 1 056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обеспечение функционирования автомобильных дорог в городах районного значения, поселках, аулах (селах), аульных (сельских) округах в сумме 81 725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39/6-IV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553"/>
        <w:gridCol w:w="9053"/>
        <w:gridCol w:w="211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2397362,2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1396573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642389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642389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434607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142119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75329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989150,2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989150,2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989150,2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793"/>
        <w:gridCol w:w="873"/>
        <w:gridCol w:w="7853"/>
        <w:gridCol w:w="20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2423708,5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1463444,6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76667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1341803,6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1341118,6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1273143,6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32743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191103,2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22128,2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19628,2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18392,2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37593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1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-74826,3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74826,3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39/6-IV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услуги по обеспечению деятельности акима района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0099"/>
        <w:gridCol w:w="2204"/>
      </w:tblGrid>
      <w:tr>
        <w:trPr>
          <w:trHeight w:val="6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39/6-IV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капитальные расходы 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0078"/>
        <w:gridCol w:w="2091"/>
      </w:tblGrid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39/6-IV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организацию бесплатного подвоза учащихся до школы и</w:t>
      </w:r>
      <w:r>
        <w:br/>
      </w:r>
      <w:r>
        <w:rPr>
          <w:rFonts w:ascii="Times New Roman"/>
          <w:b/>
          <w:i w:val="false"/>
          <w:color w:val="000000"/>
        </w:rPr>
        <w:t>
обратно в аульной (сельской)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864"/>
        <w:gridCol w:w="2443"/>
      </w:tblGrid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39/6-IV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830"/>
        <w:gridCol w:w="2472"/>
      </w:tblGrid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44613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39/6-IV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9958"/>
        <w:gridCol w:w="2400"/>
      </w:tblGrid>
      <w:tr>
        <w:trPr>
          <w:trHeight w:val="7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39/6-IV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содержание мест захоронений и погребение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490"/>
        <w:gridCol w:w="3875"/>
      </w:tblGrid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39/6-IV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функционирования автомобильных дорог в</w:t>
      </w:r>
      <w:r>
        <w:br/>
      </w:r>
      <w:r>
        <w:rPr>
          <w:rFonts w:ascii="Times New Roman"/>
          <w:b/>
          <w:i w:val="false"/>
          <w:color w:val="000000"/>
        </w:rPr>
        <w:t>
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0123"/>
        <w:gridCol w:w="2238"/>
      </w:tblGrid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ИТОГО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