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efd7" w14:textId="148e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выпаса сельскохозяйственных
животных в Бурлинском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15 ноября 2011 года № 31-3. Зарегистрировано Департаментом юстиции Западно-Казахстанской области 20 декабря 2011 года № 7-3-118. Утратило силу - решением Бурлинского районного маслихата Западно-Казахстанской области от 18 июля 2012 года № 5-9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Бурлинского районного маслихата Западно-Казахстанской области от 18.07.2012 № 5-9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правонарушениях", Гражданским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регулировании развития агропромышленного комплекса и сельских территорий"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(прилагаемые)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выпаса сельскохозяйственных животных в Бурлинском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Куянов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И. Измагамбетов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2011 года № 31-3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и выпаса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животных в Бурлинском районе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содержания и выпаса сельскохозяйственных животных в Бурлинском районе (далее - Правила) разработаны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 "Об административных правонарушениях",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регулировании развития агропромышленного комплекса и сельских территорий".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организации и осуществления содержания и выпаса сельскохозяйственных животных в Бурлинском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- культивируемые человеком все виды сельскохозяйственных животных и птиц, имеющих непосредственное отношение к сельскохозяйственному производству;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владельцы сельскохозяйственных животных - физические или юридические лица, которые имеют в собственности или ином владении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государственный орган в области ветеринарии – государственное учреждение "Бурлинская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Содержание и выпас сельскохозяйственных животных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Сельскохозяйственные животные должны содержаться в специально оборудованных закрытых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Обязательные условия содержания сельскохозяйственных животных: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обязательных ветеринарно - санитарных мероприятий в установленным действующим законодательством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соблюдать условия и требования карантина и ограниченных мероприятий, в случае их установления;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соблюдать нормативные правовые акты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новорожденные и приобретенные сельскохозяйственные животные не позднее двух месяцев должны быть осмотрены и зарегистрированы в органах местного государственного управления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заболевания сельскохозяйственного животного своевременно прибегать к ветеринарной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создать необходимые условия ветеринарным специалистам для проведения ветеринарных мероприятий, своевременно представлять сельскохозяйственных животных для осмотра, диагностики, исследований и лечебно-профилактических обработок;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обеспечивать паспортизацию и идентификацию всех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не оставлять сельскохозяйственных животных без присмотра и не допускать их безнадзорства;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приобретении, потере или падежа сельскохозяйственного животного своевременно сообщать в уполномоченный государственный орган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сообщать в ближайшие медицинские учреждения и ветеринарным специалистам о нанесении травм сельскохозяйственными животными человеку или другому животному;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своевременно информировать ветеринарного специалиста о необходимости вывоза и уничтожения трупов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соблюдать санитарно-гигиенические, ветеринарно-санитарные правила и нормы.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Продажа, ввоз и вывоз сельскохозяйственных животных осуществляется при наличии ветеринарного сертификата установленного образца, которое выдается уполномоченным государственным органом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Перевозка сельскохозяйственных животных воздушным, водным, железнодорожным транспортом осуществляется в соответствии с Правилами перевозок на данных видах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Акимы аульных (сельских)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определяют места выпаса сельскохозяйственных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проводят работу по организации выпаса сельскохозяйственных животных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определяют места для временного содержания безнадзорных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Выпас сельскохозяйственных животных: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допускается в местах общего пользования, парках, скверах;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допускается в полосе отчуждении железных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осуществляется с соблюдением ветеринарно-санитарных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осуществляется при соблюдении требований установленных правил обеспечения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Прогон сельскохозяйственных животных осуществляется в специально отведенных местах, с соблюдением ветеринарно-санитарных правил.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владельцев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животных за нарушение настоящих правил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Юридические и физические лица, виновные в нарушении настоящих Правил, несут ответственность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