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552f3" w14:textId="9e552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Бокейординского района Западно-Казахстанской области от 14 марта 2011 года № 42. Зарегистрировано Департаментом юстиции Западно-Казахстанской области 30 марта 2011 года за № 7-4-116. Утратило силу - постановлением акимата Бокейординского района Западно-Казахстанской области от 13 июня 2011 года № 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Бокейординского района Западно-Казахстанской области от 13.06.2011 № 89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Конституционным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Совместно с Бокейординской районной территориальной избирательной комиссией (по согласованию) определить места для размещения агитационных печатных материалов для всех кандидатов во внеочередных выборах Президента Республики Казахстан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Оснастить определенные места для размещения агитационных печатных материалов стендами, щитами, тумбами.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Кайыргалиеву Л.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  официального опубликования и распространяется на правовые отношения возникшие с 3 марта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Р. Карин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Бокейординской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_____________Махимов Мереке Темирбулатович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14.03.2011 г.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марта 2011 года № 42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</w:t>
      </w:r>
      <w:r>
        <w:br/>
      </w:r>
      <w:r>
        <w:rPr>
          <w:rFonts w:ascii="Times New Roman"/>
          <w:b/>
          <w:i w:val="false"/>
          <w:color w:val="000000"/>
        </w:rPr>
        <w:t>
материалов для всех кандидатов во внеочередных</w:t>
      </w:r>
      <w:r>
        <w:br/>
      </w:r>
      <w:r>
        <w:rPr>
          <w:rFonts w:ascii="Times New Roman"/>
          <w:b/>
          <w:i w:val="false"/>
          <w:color w:val="000000"/>
        </w:rPr>
        <w:t>
выборах Президента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3415"/>
        <w:gridCol w:w="7856"/>
      </w:tblGrid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округов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Бисен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дома культуры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Муратсай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дома культуры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Урда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дома культуры</w:t>
            </w:r>
          </w:p>
        </w:tc>
      </w:tr>
      <w:tr>
        <w:trPr>
          <w:trHeight w:val="450" w:hRule="atLeast"/>
        </w:trPr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Сайхин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районного дома культуры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Саралжын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дома культуры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 Масин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дома культуры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Уялы</w:t>
            </w:r>
          </w:p>
        </w:tc>
        <w:tc>
          <w:tcPr>
            <w:tcW w:w="7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дома культуры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