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c435" w14:textId="304c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депутаты Мажилиса Парламента и маслихатов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30 декабря 2011 года № 287. Зарегистрировано Департаментом юстиции Западно-Казахстанской области 11 января 2012 года за № 7-5-138. Утратило силу - постановлением акимата Жангалинского района Западно-Казахстанской области от 20 января 2012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Жангалинского района Западно-Казахстанской области от 20.01.2012 № 26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Жангалинской районной избирательной комиссией (по согласованию) места для размещения агитационных печатных материалов для всех кандидатов в депутаты Мажилиса Парламента и маслихатов Республики Казахстан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Л. Хайретдинов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Жангалинской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Т. Жумалиев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30.12.2011 г.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287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для всех кандидатов в депутаты Мажилиса</w:t>
      </w:r>
      <w:r>
        <w:br/>
      </w:r>
      <w:r>
        <w:rPr>
          <w:rFonts w:ascii="Times New Roman"/>
          <w:b/>
          <w:i w:val="false"/>
          <w:color w:val="000000"/>
        </w:rPr>
        <w:t>
Парламента и маслихатов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015"/>
        <w:gridCol w:w="2498"/>
        <w:gridCol w:w="5816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округов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Жангалинский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Жанакала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Брликский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Брлик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аульного клуба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Акбалшык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 кемпир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Жанаказанский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Жанаказан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аульного клуба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Жуалыой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аульного клуба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Саркол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 Айдархан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начального образования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Мастексайский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Мастексай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аульного клуба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Мухор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Копжасарский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Копжасар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аульного клуба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начального образования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начального образования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Кызылобинский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Кызылоба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аульного клуба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начального образования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Айтпай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начального образования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Мендешевский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Мендешев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аульного клуба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Пятимарский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Пятимар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аульного клуба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Аккус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начального образования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Борык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начального образования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Плантация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начального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