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d81a" w14:textId="e38d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публикации накопительными пенсионными фондами сведений о структуре инвестиционного портфеля накопительного пенсионного фонда за счет пенсионных активов в средствах массовой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13 февраля 2012 года № 28. Зарегистрировано в Министерстве юстиции 19 марта 2012 года № 7476.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«О внесении изменений и дополнений в законодательные акты Республики Казахстан по вопросам регулирования банковской деятельности и финансовых организаций в части минимизации рисков»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публикации накопительными пенсионными фондами сведений о структуре инвестиционного портфеля накопительного пенсионного фонда за счет пенсионных активов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2007 года № 188 «Об утверждении Правил представления агрегированных отчетов накопительных пенсионных фондов и организаций, осуществляющих инвестиционное управление пенсионными активами, а также их публикации в средствах массовой информации» (зарегистрированное в Реестре государственной регистрации нормативных правовых актов под № 4858, опубликованное 14 сентября 2007 года в газете «Юридическая газета» № 141 (1344));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24 декабря 2007 года № 276 «О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25 июня 2007 года № 188 «Об утверждении Правил представления агрегированных отчетов накопительных пенсионных фондов и организаций, осуществляющих инвестиционное управление пенсионными активами, а также их публикации в средствах массовой информации» (зарегистрированное в Реестре государственной регистрации нормативных правовых актов под № 5097).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2012 года № 28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публикации накопительными пенсионными фондами сведений о</w:t>
      </w:r>
      <w:r>
        <w:br/>
      </w:r>
      <w:r>
        <w:rPr>
          <w:rFonts w:ascii="Times New Roman"/>
          <w:b/>
          <w:i w:val="false"/>
          <w:color w:val="000000"/>
        </w:rPr>
        <w:t>
структуре инвестиционного портфеля накопительного пенсионного</w:t>
      </w:r>
      <w:r>
        <w:br/>
      </w:r>
      <w:r>
        <w:rPr>
          <w:rFonts w:ascii="Times New Roman"/>
          <w:b/>
          <w:i w:val="false"/>
          <w:color w:val="000000"/>
        </w:rPr>
        <w:t>
фонда за счет пенсионных активов в средствах массовой</w:t>
      </w:r>
      <w:r>
        <w:br/>
      </w:r>
      <w:r>
        <w:rPr>
          <w:rFonts w:ascii="Times New Roman"/>
          <w:b/>
          <w:i w:val="false"/>
          <w:color w:val="000000"/>
        </w:rPr>
        <w:t>
информации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публикации накопительными пенсионными фондами сведений о структуре инвестиционного портфеля накопительного пенсионного фонда за счет пенсионных активов в средствах массовой информации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(далее - Закон) и определяют порядок и сроки публикации накопительными пенсионными фондами сведений о структуре инвестиционного портфеля накопительного пенсионного фонда за счет пенсионных активов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Накопительный пенсионный фонд публикует в средствах массовой информации сведения о структуре каждого вида инвестиционного портфеля, сформированного за счет пенсионных активов, на государственном и русском языках с указанием наименования и количества финансовых инструментов, а также процентного соотношения размера инвестиций в данные финансовые инструменты к общей сумме пенсионных активов накопительного пенсионного фонда,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публикации сведений о структуре инвестиционного портфеля, сформированного за счет пенсионных активов, накопительный пенсионный фонд использует периодические печатные издания, выпускаемые тиражом не менее пятнадцати тысяч экземпляров и распространяемые на всей территории Республики Казахстан, и (или) размещает указанную информацию на интернет-ресурсе, соответствующем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средствах массовой информации, используемых накопительным пенсионным фондом для публикации (размещения) данных о структуре инвестиционного портфеля, сформированного за счет пенсионных активов, включаются накопительным пенсионным фондом в пенсионные правила,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Сервер интернет-ресурса накопительного пенсионного фонда, используемый для размещения сведений о структуре инвестиционного портфеля, сформированного за счет пенсионных активов, подключается к сети Интернет по каналу связи с пропускной способностью не менее 20 Mbit/sec. Время загрузки любой страницы интернет-ресурса пользователем сети Интернет, использующим для подключения к сети Интернет канал связи со скоростью передачи данных 128 Kbit/sec, составляет не более 10 секунд в зависимости от наполнения страницы графикой и другими элементами.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интернет-ресурсе указываются дата и время размещения информации, а также обеспечивается их постоянное хранение.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Сведения о структуре каждого вида инвестиционного портфеля, сформированного за счет пенсионных активов накопительного пенсионного фонда, публикуются (размещаются) в средствах массовой информации ежеквартально в срок не позднее последнего числа месяца, следующего за отчетным кварталом.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Данные в сведениях о структуре каждого вида инвестиционного портфеля, сформированного за счет пенсионных активов накопительного пенсионного фонда, указываются в национальной валюте - тенге по курсу Национального Банка Республики Казахстан на соответствующую отчетную дату.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Накопительный пенсионный фонд в срок не позднее десяти рабочих дней после опубликования сведений о структуре каждого вида инвестиционного портфеля за счет пенсионных активов, представляет в Комитет по контролю и надзору финансового рынка и финансовых организаций Национального Банка Республики Казахстан информацию об исполнении пунктов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 указанием средства массовой информации, использованного для публикации (размещения) сведений о структуре инвестиционного портфеля за счет пенсионных активов, с приложением копий подтверждающих документов.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публикации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накопительными пенсионными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фондами сведений о структуре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инвестиционного портфеля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накопительного пенсионного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пенсионных активов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средствах массовой информации 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Структура___________ инвестиционного портфеля,сформированного</w:t>
      </w:r>
      <w:r>
        <w:br/>
      </w:r>
      <w:r>
        <w:rPr>
          <w:rFonts w:ascii="Times New Roman"/>
          <w:b/>
          <w:i w:val="false"/>
          <w:color w:val="000000"/>
        </w:rPr>
        <w:t>
(вид инвестиционного портфеля) за счет пенсионных активов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накопительного пенсионного фонда)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«__» «___________» 20__года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533"/>
        <w:gridCol w:w="1533"/>
        <w:gridCol w:w="973"/>
        <w:gridCol w:w="1273"/>
        <w:gridCol w:w="1093"/>
        <w:gridCol w:w="1033"/>
        <w:gridCol w:w="1133"/>
        <w:gridCol w:w="1353"/>
        <w:gridCol w:w="1533"/>
      </w:tblGrid>
      <w:tr>
        <w:trPr>
          <w:trHeight w:val="3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актива)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тинг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полное наименование эмитента финансового инструмента и его вид (в том числе, ценная бумага, полученная в результате операции «обратное РЕПО», аффинированный драгоценный металл, производный финансовый инструмент, банковский депозит и другие).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краткое название (уникальный идентификатор) котируемых финансовых инструментов, а также Национальный идентификационный номер (НИН), Международный идентификационный номер (International Securities Identification Number - ISIN) для финансовых инструментов, либо номер договора на открытие банковского депозита.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валюты в соответствии с Государственным классификатором Республики Казахстан 07 ИСО 4217-2001 «Коды для обозначения валют и фондов» финансового инструмента, в которой он номинирован, либо код валюты, являющейся базовым активом по производному финансовому инструменту.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рейтинговая оценка ценной бумаги для долговых ценных бумаг, рейтинг эмитента (банка) для акций (банковского вклада), либо рейтинг контрпартнера для производных финансовых инструментов, а также наименование рейтингового агентства, присвоившего рейтинговую оценку. В случае наличие двух и более рейтинговых оценок указывается последняя, присвоенная рейтинговая оценка. В случае наличия рейтинговых оценок от международных рейтинговых агентств (Standard &amp; Poors, Moody's Investors Service, Fitch Ratings) указываются рейтинговые оценки, присвоенные данными рейтинговыми агентствами.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дата погашения (закрытия) в формате «дата/месяц/год» для долговых ценных бумаг (операции «обратное РЕПО» или банковского вклада или производного финансового инструмента) в соответствии с условиями выпуска (сделки (договора)), для долевых и иных бессрочных ценных бумаг данная графа не заполняется.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количество финансовых инструментов в штуках.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текущая суммарная стоимость финансовых инструментов, включающая начисленное вознаграждение, на отчетную дату с учетом их обесценения в тысячах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удельный вес финансового инструмента в процентах от текущей стоимости инвестиционного портфеля (умеренного или консервативного), сформированного за счет пенсионных активов,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удельный вес финансового инструмента в процентах от текущей стоимости пенсионных активов, с точностью до двух знаков после запятой.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дополнительная информация о финансовых инструментах, уточняющая суть заключаемой сделки с финансовыми инструментами (например, в случае если ценная бумага была получена в результате операции «обратное РЕПО», в данной графе делается соответствующая пометка).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