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d78a6" w14:textId="65d7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19 мая 2010 года № 233 "Об утверждении Правил составления и представления бюджетной заявки"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 марта 2012 года № 127. Зарегистрирован в Министерстве юстиции Республики Казахстан 28 марта 2012 года № 7489. Утратил силу приказом и.о. Министра финансов Республики Казахстан от 29 декабря 2012 года № 584</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финансов РК от 29.12.2012 </w:t>
      </w:r>
      <w:r>
        <w:rPr>
          <w:rFonts w:ascii="Times New Roman"/>
          <w:b w:val="false"/>
          <w:i w:val="false"/>
          <w:color w:val="ff0000"/>
          <w:sz w:val="28"/>
        </w:rPr>
        <w:t>№ 584</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ПРИКАЗЫВАЮ:</w:t>
      </w:r>
      <w:r>
        <w:br/>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19 мая 2010 года № 233 «Об утверждении Правил составления и представления бюджетной заявки» (зарегистрированный в Реестре государственной регистрации нормативных правовых актов за № 6289),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бюджетной заявки,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Для планирования расходов бюджета соответствующие администраторы бюджетных программ представляют:</w:t>
      </w:r>
      <w:r>
        <w:br/>
      </w:r>
      <w:r>
        <w:rPr>
          <w:rFonts w:ascii="Times New Roman"/>
          <w:b w:val="false"/>
          <w:i w:val="false"/>
          <w:color w:val="000000"/>
          <w:sz w:val="28"/>
        </w:rPr>
        <w:t>
      в центральный уполномоченный орган по бюджетному планированию в срок до 15 мая текущего финансового года - бюджетные заявки и проекты стратегических планов или проекты изменений и дополнений в стратегические планы с учетом заключений центрального уполномоченного органа по государственному планированию;</w:t>
      </w:r>
      <w:r>
        <w:br/>
      </w:r>
      <w:r>
        <w:rPr>
          <w:rFonts w:ascii="Times New Roman"/>
          <w:b w:val="false"/>
          <w:i w:val="false"/>
          <w:color w:val="000000"/>
          <w:sz w:val="28"/>
        </w:rPr>
        <w:t>
      в местный уполномоченный орган по государственному планированию в срок до 15 мая текущего финансового года - бюджетные заявки, проекты стратегических планов или проекты изменений и дополнений в стратегические планы и предложения по приоритетным бюджетным инвестициям.</w:t>
      </w:r>
      <w:r>
        <w:br/>
      </w:r>
      <w:r>
        <w:rPr>
          <w:rFonts w:ascii="Times New Roman"/>
          <w:b w:val="false"/>
          <w:i w:val="false"/>
          <w:color w:val="000000"/>
          <w:sz w:val="28"/>
        </w:rPr>
        <w:t>
      Администраторы бюджетных программ, не разрабатывающие стратегические планы, представляют в центральный уполномоченный орган по бюджетному планированию или местный уполномоченный орган по государственному планированию бюджетные заявки и проекты бюджетных программ по форме согласно приложению 5 Правил составления Единой бюджетной классификации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6 мая 2010 года № 214 (зарегистрированный в Реестре государственной регистрации нормативных правовых актов за № 6265).</w:t>
      </w:r>
      <w:r>
        <w:br/>
      </w:r>
      <w:r>
        <w:rPr>
          <w:rFonts w:ascii="Times New Roman"/>
          <w:b w:val="false"/>
          <w:i w:val="false"/>
          <w:color w:val="000000"/>
          <w:sz w:val="28"/>
        </w:rPr>
        <w:t>
      В случаях проведения оценки результатов к документам, указанным в настоящем пункте, прилагаются результаты оценки.»;</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Центральный уполномоченный орган по бюджетному планированию и местные уполномоченные органы по государственному планированию рассматривают:</w:t>
      </w:r>
      <w:r>
        <w:br/>
      </w:r>
      <w:r>
        <w:rPr>
          <w:rFonts w:ascii="Times New Roman"/>
          <w:b w:val="false"/>
          <w:i w:val="false"/>
          <w:color w:val="000000"/>
          <w:sz w:val="28"/>
        </w:rPr>
        <w:t>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действующим натуральным нормам и стандартам государственных услуг;</w:t>
      </w:r>
      <w:r>
        <w:br/>
      </w:r>
      <w:r>
        <w:rPr>
          <w:rFonts w:ascii="Times New Roman"/>
          <w:b w:val="false"/>
          <w:i w:val="false"/>
          <w:color w:val="000000"/>
          <w:sz w:val="28"/>
        </w:rPr>
        <w:t>
      показатели бюджетных программ, представленных в составе проектов стратегических планов или проектов изменений и дополнений в стратегические планы, на предмет их взаимосвязи со стратегическими целями, с задачами стратегических направлений;</w:t>
      </w:r>
      <w:r>
        <w:br/>
      </w:r>
      <w:r>
        <w:rPr>
          <w:rFonts w:ascii="Times New Roman"/>
          <w:b w:val="false"/>
          <w:i w:val="false"/>
          <w:color w:val="000000"/>
          <w:sz w:val="28"/>
        </w:rPr>
        <w:t>
      показатели результативности и эффективности, представленные в проектах бюджетных программ администраторов бюджетных программ, не разрабатывающих стратегические планы, на предмет их соответствия функциям, полномочиям, направлениям деятельности администратора бюджетных программ.»;</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Администратор бюджетных программ ежегодно составляет одну бюджетную заявку, за исключением случаев уточнения и корректировки бюджета, предусмотренных бюджетным законодательством Республики Казахстан. Бюджетная заявка подлежит приведению в соответствие на стадиях разработки, рассмотрения и утверждения бюджета, а также в случаях уточнения и корректировки бюджета.</w:t>
      </w:r>
      <w:r>
        <w:br/>
      </w:r>
      <w:r>
        <w:rPr>
          <w:rFonts w:ascii="Times New Roman"/>
          <w:b w:val="false"/>
          <w:i w:val="false"/>
          <w:color w:val="000000"/>
          <w:sz w:val="28"/>
        </w:rPr>
        <w:t>
      9. Администратор республиканских бюджетных программ вносит бюджетную заявку в уполномоченный орган по бюджетному планированию на бумажном носителе с пронумерованными листами, в сброшюрованном виде и в виде электронного документа посредством использования единой системы электронного документооборота государственных органов, а также вносит данные бюджетной заявки в информационную систему государственного планирования.</w:t>
      </w:r>
      <w:r>
        <w:br/>
      </w:r>
      <w:r>
        <w:rPr>
          <w:rFonts w:ascii="Times New Roman"/>
          <w:b w:val="false"/>
          <w:i w:val="false"/>
          <w:color w:val="000000"/>
          <w:sz w:val="28"/>
        </w:rPr>
        <w:t xml:space="preserve">
      В случае отсутствия в информационной системе государственного планирования бюджетной заявки (в том числе в случае неполного заполнения форм расчетов расходов по спецификам экономической классификации расходов бюджета) и/или несоответствия с бюджетной заявкой, представленной на бумажном носителе, данная бюджетная заявка будет возвращена администратору республиканских бюджетных программ без рассмотрения. </w:t>
      </w:r>
      <w:r>
        <w:br/>
      </w:r>
      <w:r>
        <w:rPr>
          <w:rFonts w:ascii="Times New Roman"/>
          <w:b w:val="false"/>
          <w:i w:val="false"/>
          <w:color w:val="000000"/>
          <w:sz w:val="28"/>
        </w:rPr>
        <w:t>
      Кроме того, администраторы республиканских бюджетных программ предоставляют в структурное подразделение центрального уполномоченного органа по бюджетному планированию, осуществляющее функции бюджетного планирования и прогнозирования, для формирования информации по бюджетным заявкам:</w:t>
      </w:r>
      <w:r>
        <w:br/>
      </w:r>
      <w:r>
        <w:rPr>
          <w:rFonts w:ascii="Times New Roman"/>
          <w:b w:val="false"/>
          <w:i w:val="false"/>
          <w:color w:val="000000"/>
          <w:sz w:val="28"/>
        </w:rPr>
        <w:t>
      копию Сводного расчета расходов по программам (подпрограммам);</w:t>
      </w:r>
      <w:r>
        <w:br/>
      </w:r>
      <w:r>
        <w:rPr>
          <w:rFonts w:ascii="Times New Roman"/>
          <w:b w:val="false"/>
          <w:i w:val="false"/>
          <w:color w:val="000000"/>
          <w:sz w:val="28"/>
        </w:rPr>
        <w:t>
      копию Сводного перечня бюджетных программ;</w:t>
      </w:r>
      <w:r>
        <w:br/>
      </w:r>
      <w:r>
        <w:rPr>
          <w:rFonts w:ascii="Times New Roman"/>
          <w:b w:val="false"/>
          <w:i w:val="false"/>
          <w:color w:val="000000"/>
          <w:sz w:val="28"/>
        </w:rPr>
        <w:t>
      копию пояснительной записки.</w:t>
      </w:r>
      <w:r>
        <w:br/>
      </w:r>
      <w:r>
        <w:rPr>
          <w:rFonts w:ascii="Times New Roman"/>
          <w:b w:val="false"/>
          <w:i w:val="false"/>
          <w:color w:val="000000"/>
          <w:sz w:val="28"/>
        </w:rPr>
        <w:t>
      Администратор местных бюджетных программ вносит бюджетную заявку на бумажном носителе в двух экземплярах с пронумерованными страницами, в сброшюрованном виде и в виде электронного документа посредством использования единой системы электронного документооборота государственных органов либо на электронных носителях.</w:t>
      </w:r>
      <w:r>
        <w:br/>
      </w:r>
      <w:r>
        <w:rPr>
          <w:rFonts w:ascii="Times New Roman"/>
          <w:b w:val="false"/>
          <w:i w:val="false"/>
          <w:color w:val="000000"/>
          <w:sz w:val="28"/>
        </w:rPr>
        <w:t>
      В случае если администратор бюджетных программ в проекте стратегического плана или проекте изменений и дополнений в стратегический план предлагает разработать или внести изменения и дополнения в нормативные правовые акты, требующие дополнительных расходов или сокращения доходов бюджета, то одновременно с бюджетной заявкой вносится проект соответствующего нормативного правового акта.»;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w:t>
      </w:r>
      <w:r>
        <w:rPr>
          <w:rFonts w:ascii="Times New Roman"/>
          <w:b w:val="false"/>
          <w:i w:val="false"/>
          <w:color w:val="000000"/>
          <w:sz w:val="28"/>
        </w:rPr>
        <w:t xml:space="preserve"> изложить следующего содержания: </w:t>
      </w:r>
      <w:r>
        <w:br/>
      </w:r>
      <w:r>
        <w:rPr>
          <w:rFonts w:ascii="Times New Roman"/>
          <w:b w:val="false"/>
          <w:i w:val="false"/>
          <w:color w:val="000000"/>
          <w:sz w:val="28"/>
        </w:rPr>
        <w:t>
      «14. Администратор бюджетных программ представляют доработанную бюджетную заявку в центральной уполномоченной орган по бюджетному планированию или местный уполномоченный орган по государственному планированию в течение пяти рабочих дней с даты ее возврата.»;</w:t>
      </w:r>
      <w:r>
        <w:br/>
      </w:r>
      <w:r>
        <w:rPr>
          <w:rFonts w:ascii="Times New Roman"/>
          <w:b w:val="false"/>
          <w:i w:val="false"/>
          <w:color w:val="000000"/>
          <w:sz w:val="28"/>
        </w:rPr>
        <w:t>
</w:t>
      </w:r>
      <w:r>
        <w:rPr>
          <w:rFonts w:ascii="Times New Roman"/>
          <w:b w:val="false"/>
          <w:i w:val="false"/>
          <w:color w:val="000000"/>
          <w:sz w:val="28"/>
        </w:rPr>
        <w:t>
      дополнить пунктом 14-1 следующего содержания:</w:t>
      </w:r>
      <w:r>
        <w:br/>
      </w:r>
      <w:r>
        <w:rPr>
          <w:rFonts w:ascii="Times New Roman"/>
          <w:b w:val="false"/>
          <w:i w:val="false"/>
          <w:color w:val="000000"/>
          <w:sz w:val="28"/>
        </w:rPr>
        <w:t>
      «14-1. Бюджетная заявка включает в себя:</w:t>
      </w:r>
      <w:r>
        <w:br/>
      </w:r>
      <w:r>
        <w:rPr>
          <w:rFonts w:ascii="Times New Roman"/>
          <w:b w:val="false"/>
          <w:i w:val="false"/>
          <w:color w:val="000000"/>
          <w:sz w:val="28"/>
        </w:rPr>
        <w:t>
      1) расчеты по видам расходов по каждой бюджетной программе, включенной в состав проекта стратегического плана, стратегического плана или проекта изменений и дополнений в стратегический план, либо расчеты по видам расходов по каждой бюджетной программе администратора бюджетных программ, не разрабатывающего стратегический план;</w:t>
      </w:r>
      <w:r>
        <w:br/>
      </w:r>
      <w:r>
        <w:rPr>
          <w:rFonts w:ascii="Times New Roman"/>
          <w:b w:val="false"/>
          <w:i w:val="false"/>
          <w:color w:val="000000"/>
          <w:sz w:val="28"/>
        </w:rPr>
        <w:t>
      2) информацию о полученных и использованных связанных грантах по состоянию на 1 января текущего финансового года с обязательной разбивкой суммы связанных грантов по направлениям расходования;</w:t>
      </w:r>
      <w:r>
        <w:br/>
      </w:r>
      <w:r>
        <w:rPr>
          <w:rFonts w:ascii="Times New Roman"/>
          <w:b w:val="false"/>
          <w:i w:val="false"/>
          <w:color w:val="000000"/>
          <w:sz w:val="28"/>
        </w:rPr>
        <w:t>
      3) информацию о полученных и использованных несвязанных грантах по состоянию на 1 января текущего финансового года;</w:t>
      </w:r>
      <w:r>
        <w:br/>
      </w:r>
      <w:r>
        <w:rPr>
          <w:rFonts w:ascii="Times New Roman"/>
          <w:b w:val="false"/>
          <w:i w:val="false"/>
          <w:color w:val="000000"/>
          <w:sz w:val="28"/>
        </w:rPr>
        <w:t>
      4) прогноз поступлений и расходов денег от реализации государственными учреждениями товаров (работ, услуг), остающихся в их распоряжении;</w:t>
      </w:r>
      <w:r>
        <w:br/>
      </w:r>
      <w:r>
        <w:rPr>
          <w:rFonts w:ascii="Times New Roman"/>
          <w:b w:val="false"/>
          <w:i w:val="false"/>
          <w:color w:val="000000"/>
          <w:sz w:val="28"/>
        </w:rPr>
        <w:t>
      5) пояснительную записку;</w:t>
      </w:r>
      <w:r>
        <w:br/>
      </w:r>
      <w:r>
        <w:rPr>
          <w:rFonts w:ascii="Times New Roman"/>
          <w:b w:val="false"/>
          <w:i w:val="false"/>
          <w:color w:val="000000"/>
          <w:sz w:val="28"/>
        </w:rPr>
        <w:t>
      6) сводный перечень бюджетных программ, сводную таблицу расходов по текущим бюджетным программам и бюджетным программам развития, включающие базовые расходы и расходы на новые инициативы, утвержденное на текущий год штатное расписание и проект штатного расписания на планируемый период центральных государственных органов, его ведомств, территориальных органов, подведомственных государственных учреждений, в том числе структурных подразделений центрального аппарата, ведомств и их территориальных органов; штатное расписание исполнительных органов, финансируемых из соответствующих местных бюджетов, и подведомственных им государственных учреждений в случае их изменения и другую необходимую информацию, запрашиваемую центральным уполномоченным органом по бюджетному планированию или местным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«15. К бюджетной заявке, кроме перечня документов, предусмотренных в пункте 14-1 настоящих Правил, прилагаются:</w:t>
      </w:r>
      <w:r>
        <w:br/>
      </w:r>
      <w:r>
        <w:rPr>
          <w:rFonts w:ascii="Times New Roman"/>
          <w:b w:val="false"/>
          <w:i w:val="false"/>
          <w:color w:val="000000"/>
          <w:sz w:val="28"/>
        </w:rPr>
        <w:t>
      проекты соглашений о результатах по целевым трансфертам, согласованные с местными исполнительными органами области, города республиканского значения, столицы, в случае выделения целевых трансфертов из республиканского бюджета в областные бюджеты, бюджеты города республиканского значения, столицы, отчет о достигнутых прямых и конечных результатов;</w:t>
      </w:r>
      <w:r>
        <w:br/>
      </w:r>
      <w:r>
        <w:rPr>
          <w:rFonts w:ascii="Times New Roman"/>
          <w:b w:val="false"/>
          <w:i w:val="false"/>
          <w:color w:val="000000"/>
          <w:sz w:val="28"/>
        </w:rPr>
        <w:t>
      проекты соглашений о результатах по целевым трансфертам, согласованные с местными исполнительными органами района, в случае выделения целевых трансфертов из областного бюджета в бюджеты района (города областного значения), в том числе трансфертов из республиканского бюджета, выделяемых в областные бюджеты и подлежащих дальнейшему распределению в бюджеты района;</w:t>
      </w:r>
      <w:r>
        <w:br/>
      </w:r>
      <w:r>
        <w:rPr>
          <w:rFonts w:ascii="Times New Roman"/>
          <w:b w:val="false"/>
          <w:i w:val="false"/>
          <w:color w:val="000000"/>
          <w:sz w:val="28"/>
        </w:rPr>
        <w:t>
      проект соответствующего нормативного правового акта, в случае если администратор бюджетных программ предлагает разработать или внести изменения и дополнения в нормативные правовые акты, требующие дополнительных расходов или сокращения поступлений бюджета;</w:t>
      </w:r>
      <w:r>
        <w:br/>
      </w:r>
      <w:r>
        <w:rPr>
          <w:rFonts w:ascii="Times New Roman"/>
          <w:b w:val="false"/>
          <w:i w:val="false"/>
          <w:color w:val="000000"/>
          <w:sz w:val="28"/>
        </w:rPr>
        <w:t>
      заключение Министерства юстиции Республики Казахстан о целесообразности разработки законопроектов и соответствия Перспективному плану законопроектных работ Правительства Республики Казахстан;</w:t>
      </w:r>
      <w:r>
        <w:br/>
      </w:r>
      <w:r>
        <w:rPr>
          <w:rFonts w:ascii="Times New Roman"/>
          <w:b w:val="false"/>
          <w:i w:val="false"/>
          <w:color w:val="000000"/>
          <w:sz w:val="28"/>
        </w:rPr>
        <w:t>
      инвестиционные предложения с заключениями соответствующих экспертиз;</w:t>
      </w:r>
      <w:r>
        <w:br/>
      </w:r>
      <w:r>
        <w:rPr>
          <w:rFonts w:ascii="Times New Roman"/>
          <w:b w:val="false"/>
          <w:i w:val="false"/>
          <w:color w:val="000000"/>
          <w:sz w:val="28"/>
        </w:rPr>
        <w:t>
      технико-экономическое обоснование бюджетного инвестиционного проекта, положительное заключение государственной экспертизы предпроектной (технико-экономических обоснований) и проектной (проектно-сметной) документации на строительство за исключением проектов, не требующих разработки технико-экономического обоснования, положительное заключение экономической экспертизы по технико-экономическому обоснованию бюджетного инвестиционного проекта при осуществлении бюджетных инвестиций посредством реализации бюджетных инвестиционных проектов;</w:t>
      </w:r>
      <w:r>
        <w:br/>
      </w:r>
      <w:r>
        <w:rPr>
          <w:rFonts w:ascii="Times New Roman"/>
          <w:b w:val="false"/>
          <w:i w:val="false"/>
          <w:color w:val="000000"/>
          <w:sz w:val="28"/>
        </w:rPr>
        <w:t>
      технико-экономическое обоснование концессионного проекта на условиях софинансирования из бюджета, положительное заключение экономической экспертизы по технико-экономическому обоснованию концессионного проекта на условиях софинансирования из бюджета, согласование концессионного проекта, центральным уполномоченным государственным органом по исполнению бюджета и центральным уполномоченным государственным органом по осуществлению права распоряжения республиканской собственностью по существующим объектам республиканской собственности при осуществлении бюджетных инвестиций посредством софинансирования концессионных проектов;</w:t>
      </w:r>
      <w:r>
        <w:br/>
      </w:r>
      <w:r>
        <w:rPr>
          <w:rFonts w:ascii="Times New Roman"/>
          <w:b w:val="false"/>
          <w:i w:val="false"/>
          <w:color w:val="000000"/>
          <w:sz w:val="28"/>
        </w:rPr>
        <w:t>
      стратегические документы развития юридических лиц, в случае планирования бюджетных инвестиций посредством участия государства в их уставном капитале;</w:t>
      </w:r>
      <w:r>
        <w:br/>
      </w:r>
      <w:r>
        <w:rPr>
          <w:rFonts w:ascii="Times New Roman"/>
          <w:b w:val="false"/>
          <w:i w:val="false"/>
          <w:color w:val="000000"/>
          <w:sz w:val="28"/>
        </w:rPr>
        <w:t>
      финансово-экономическое обоснование бюджетных инвестиций, осуществляемых посредством участия государства в уставном капитале юридических лиц, положительное заключение экономической экспертизы по нему;</w:t>
      </w:r>
      <w:r>
        <w:br/>
      </w:r>
      <w:r>
        <w:rPr>
          <w:rFonts w:ascii="Times New Roman"/>
          <w:b w:val="false"/>
          <w:i w:val="false"/>
          <w:color w:val="000000"/>
          <w:sz w:val="28"/>
        </w:rPr>
        <w:t>
      заключение межведомственной комиссии по рассмотрению целесообразности проведения исследований по темам, предлагаемым администраторами республиканских бюджетных программ;</w:t>
      </w:r>
      <w:r>
        <w:br/>
      </w:r>
      <w:r>
        <w:rPr>
          <w:rFonts w:ascii="Times New Roman"/>
          <w:b w:val="false"/>
          <w:i w:val="false"/>
          <w:color w:val="000000"/>
          <w:sz w:val="28"/>
        </w:rPr>
        <w:t>
      заключение государственной научной и научно-технической экспертизы научных исследований по темам, предлагаемым администраторами республиканских бюджетных программ;</w:t>
      </w:r>
      <w:r>
        <w:br/>
      </w:r>
      <w:r>
        <w:rPr>
          <w:rFonts w:ascii="Times New Roman"/>
          <w:b w:val="false"/>
          <w:i w:val="false"/>
          <w:color w:val="000000"/>
          <w:sz w:val="28"/>
        </w:rPr>
        <w:t>
      заключение центрального уполномоченного органа по государственному планированию о соответствии проектов стратегических планов или проектов изменений и дополнений в стратегические планы стратегическим и программным документам, прогнозу социально-экономического развития страны, бюджетному и иному законодательству Республики Казахстан;</w:t>
      </w:r>
      <w:r>
        <w:br/>
      </w:r>
      <w:r>
        <w:rPr>
          <w:rFonts w:ascii="Times New Roman"/>
          <w:b w:val="false"/>
          <w:i w:val="false"/>
          <w:color w:val="000000"/>
          <w:sz w:val="28"/>
        </w:rPr>
        <w:t>
      заключение уполномоченного органа по государственному планированию о целесообразности бюджетного кредитования по бюджетным программам, предлагаемым администратором бюджетных программ к реализации посредством бюджетного кредитования с учетом предложений центрального уполномоченного органа по бюджетному планированию;</w:t>
      </w:r>
      <w:r>
        <w:br/>
      </w:r>
      <w:r>
        <w:rPr>
          <w:rFonts w:ascii="Times New Roman"/>
          <w:b w:val="false"/>
          <w:i w:val="false"/>
          <w:color w:val="000000"/>
          <w:sz w:val="28"/>
        </w:rPr>
        <w:t>
      заключение уполномоченного органа в сфере информации и связи при планировании администратором республиканских бюджетных программ расходов на закупки вычислительной техники, телекоммуникационного оборудования, лицензионного программного обеспечения, услуг по разработке и развитию информационных систем;</w:t>
      </w:r>
      <w:r>
        <w:br/>
      </w:r>
      <w:r>
        <w:rPr>
          <w:rFonts w:ascii="Times New Roman"/>
          <w:b w:val="false"/>
          <w:i w:val="false"/>
          <w:color w:val="000000"/>
          <w:sz w:val="28"/>
        </w:rPr>
        <w:t>
      заключение центрального уполномоченного органа по государственному планированию при планировании администратором бюджетных программ расходов на увеличение штатной численности;</w:t>
      </w:r>
      <w:r>
        <w:br/>
      </w:r>
      <w:r>
        <w:rPr>
          <w:rFonts w:ascii="Times New Roman"/>
          <w:b w:val="false"/>
          <w:i w:val="false"/>
          <w:color w:val="000000"/>
          <w:sz w:val="28"/>
        </w:rPr>
        <w:t>
      предложения на оказание отдельных государственных услуг, реализацию бюджетных инвестиционных проектов и выполнение других задач, направленных на обеспечение социально-экономической стабильности государства в форме государственного задания в соответствии с законодательством;</w:t>
      </w:r>
      <w:r>
        <w:br/>
      </w:r>
      <w:r>
        <w:rPr>
          <w:rFonts w:ascii="Times New Roman"/>
          <w:b w:val="false"/>
          <w:i w:val="false"/>
          <w:color w:val="000000"/>
          <w:sz w:val="28"/>
        </w:rPr>
        <w:t>
      решения попечительских советов автономных организаций образования при планировании расходов по бюджетной программе направленной на вложение целевого вклада.</w:t>
      </w:r>
      <w:r>
        <w:br/>
      </w:r>
      <w:r>
        <w:rPr>
          <w:rFonts w:ascii="Times New Roman"/>
          <w:b w:val="false"/>
          <w:i w:val="false"/>
          <w:color w:val="000000"/>
          <w:sz w:val="28"/>
        </w:rPr>
        <w:t>
      По бюджетным инвестициям, направленным на реализацию особо важных и требующих оперативной реализации задач, представляются следующие документы:</w:t>
      </w:r>
      <w:r>
        <w:br/>
      </w:r>
      <w:r>
        <w:rPr>
          <w:rFonts w:ascii="Times New Roman"/>
          <w:b w:val="false"/>
          <w:i w:val="false"/>
          <w:color w:val="000000"/>
          <w:sz w:val="28"/>
        </w:rPr>
        <w:t>
      копии поручений Президента Республики Казахстан и/или Премьер-Министра Республики Казахстан;</w:t>
      </w:r>
      <w:r>
        <w:br/>
      </w:r>
      <w:r>
        <w:rPr>
          <w:rFonts w:ascii="Times New Roman"/>
          <w:b w:val="false"/>
          <w:i w:val="false"/>
          <w:color w:val="000000"/>
          <w:sz w:val="28"/>
        </w:rPr>
        <w:t>
      расчет по обоснованию стоимости проекта в разбивке по годам;</w:t>
      </w:r>
      <w:r>
        <w:br/>
      </w:r>
      <w:r>
        <w:rPr>
          <w:rFonts w:ascii="Times New Roman"/>
          <w:b w:val="false"/>
          <w:i w:val="false"/>
          <w:color w:val="000000"/>
          <w:sz w:val="28"/>
        </w:rPr>
        <w:t>
      заключение администратора бюджетных программ на целесообразность реализации проекта;</w:t>
      </w:r>
      <w:r>
        <w:br/>
      </w:r>
      <w:r>
        <w:rPr>
          <w:rFonts w:ascii="Times New Roman"/>
          <w:b w:val="false"/>
          <w:i w:val="false"/>
          <w:color w:val="000000"/>
          <w:sz w:val="28"/>
        </w:rPr>
        <w:t>
      в случае необходимости другие документы, запрашиваемые центральным уполномоченным органом по бюджетному планированию.»;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 В случаях уточнения и корректировки бюджета центральный уполномоченный орган по бюджетному планированию или местный уполномоченный орган по государственному планированию, в течение десяти рабочих дней после представления бюджетных заявок администраторами бюджетных программ, готовит по ним заключения и вносит на рассмотрение бюджетной комиссии.</w:t>
      </w:r>
      <w:r>
        <w:br/>
      </w:r>
      <w:r>
        <w:rPr>
          <w:rFonts w:ascii="Times New Roman"/>
          <w:b w:val="false"/>
          <w:i w:val="false"/>
          <w:color w:val="000000"/>
          <w:sz w:val="28"/>
        </w:rPr>
        <w:t>
      С учетом предложений бюджетной комиссии администраторы бюджетных программ в течение пяти рабочих дней уточняют бюджетные заявки по бюджетным программам, изменения по которым одобрены бюджетной комиссией, и представляют в центральный уполномоченный орган по бюджетному планированию или местный уполномоченный орган по государственному планированию на бумажном носителе, кроме того, администраторы республиканских бюджетных программ данные бюджетной заявки вносят в информационную систему государственного планирования.»;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22 изложить в следующей редакции:</w:t>
      </w:r>
      <w:r>
        <w:br/>
      </w:r>
      <w:r>
        <w:rPr>
          <w:rFonts w:ascii="Times New Roman"/>
          <w:b w:val="false"/>
          <w:i w:val="false"/>
          <w:color w:val="000000"/>
          <w:sz w:val="28"/>
        </w:rPr>
        <w:t>
      «1) основные направления расходования средств на плановый период с указанием показателей результативности и эффективности;»;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«29. Форма 01-114 (приложение 18) предназначена для расчета расходов на дополнительно установленные обязательные пенсионные взносы судей и обязательные пенсионные взносы военнослужащих, сотрудников органов внутренних дел и органов уголовно-исполнительной системы Министерства юстиции Республики Казахстан, органов финансовой полиции и государственной противопожарной службы в накопительные пенсионные фонды.</w:t>
      </w:r>
      <w:r>
        <w:br/>
      </w:r>
      <w:r>
        <w:rPr>
          <w:rFonts w:ascii="Times New Roman"/>
          <w:b w:val="false"/>
          <w:i w:val="false"/>
          <w:color w:val="000000"/>
          <w:sz w:val="28"/>
        </w:rPr>
        <w:t>
      При составлении расчета по данной форме следует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w:t>
      </w:r>
      <w:r>
        <w:br/>
      </w:r>
      <w:r>
        <w:rPr>
          <w:rFonts w:ascii="Times New Roman"/>
          <w:b w:val="false"/>
          <w:i w:val="false"/>
          <w:color w:val="000000"/>
          <w:sz w:val="28"/>
        </w:rPr>
        <w:t>
      Для обоснования планируемых расходов по прикомандированию сотрудников правоохранительных органов Республики Казахстан к Администрации Президента Республики Казахстан, аппаратам палат Парламента Республики Казахстан, Канцелярии Премьер-Министра Республики Казахстан и к международным организациям представляются акты Правительства Республики Казахстан.</w:t>
      </w:r>
      <w:r>
        <w:br/>
      </w:r>
      <w:r>
        <w:rPr>
          <w:rFonts w:ascii="Times New Roman"/>
          <w:b w:val="false"/>
          <w:i w:val="false"/>
          <w:color w:val="000000"/>
          <w:sz w:val="28"/>
        </w:rPr>
        <w:t>
      В графе 2 указывается сумма денежного содержания в месяц, которая состоит из сумм должностных окладов судей, военнослужащих, сотрудников органов внутренних дел и Комитета уголовно-исполнительной системы Министерства юстиции Республики Казахстан, органов финансовой полиции и государственной противопожарной службы, имеющих по состоянию на 1 января 1998 года стаж военной службы, службы в органах внутренних дел Республики Казахстан менее 10 лет и окладов (доплат) по воинскому (специальному) званию.»;</w:t>
      </w:r>
      <w:r>
        <w:br/>
      </w:r>
      <w:r>
        <w:rPr>
          <w:rFonts w:ascii="Times New Roman"/>
          <w:b w:val="false"/>
          <w:i w:val="false"/>
          <w:color w:val="000000"/>
          <w:sz w:val="28"/>
        </w:rPr>
        <w:t>
</w:t>
      </w:r>
      <w:r>
        <w:rPr>
          <w:rFonts w:ascii="Times New Roman"/>
          <w:b w:val="false"/>
          <w:i w:val="false"/>
          <w:color w:val="000000"/>
          <w:sz w:val="28"/>
        </w:rPr>
        <w:t>
      дополнить пунктом 43-1 следующего содержания:</w:t>
      </w:r>
      <w:r>
        <w:br/>
      </w:r>
      <w:r>
        <w:rPr>
          <w:rFonts w:ascii="Times New Roman"/>
          <w:b w:val="false"/>
          <w:i w:val="false"/>
          <w:color w:val="000000"/>
          <w:sz w:val="28"/>
        </w:rPr>
        <w:t>
      «43-1. Для обоснования планируемых расходов на служебные командировки внутри страны и за пределы страны администраторами бюджетных программ представляются утвержденные планы командировок на текущий год и проекты планов командировок на плановый период.»;</w:t>
      </w:r>
      <w:r>
        <w:br/>
      </w:r>
      <w:r>
        <w:rPr>
          <w:rFonts w:ascii="Times New Roman"/>
          <w:b w:val="false"/>
          <w:i w:val="false"/>
          <w:color w:val="000000"/>
          <w:sz w:val="28"/>
        </w:rPr>
        <w:t>
</w:t>
      </w:r>
      <w:r>
        <w:rPr>
          <w:rFonts w:ascii="Times New Roman"/>
          <w:b w:val="false"/>
          <w:i w:val="false"/>
          <w:color w:val="000000"/>
          <w:sz w:val="28"/>
        </w:rPr>
        <w:t>
      дополнить пунктом 45-1 следующего содержания:</w:t>
      </w:r>
      <w:r>
        <w:br/>
      </w:r>
      <w:r>
        <w:rPr>
          <w:rFonts w:ascii="Times New Roman"/>
          <w:b w:val="false"/>
          <w:i w:val="false"/>
          <w:color w:val="000000"/>
          <w:sz w:val="28"/>
        </w:rPr>
        <w:t>
      «45-1. При планировании расходов по бюджетной программе, направленной на вложение целевого вклада, расчеты составляются по специфике 441 «Целевой вклад» по видам расходов, по формам, предусмотренным для данных видов расходов по другим спецификам, с приложением соответствующих документов и обоснования по каждому виду расходов.»;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52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методологии бюджетных процедур (Калиева А.Н.)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государственной регистрации.</w:t>
      </w:r>
    </w:p>
    <w:bookmarkEnd w:id="1"/>
    <w:p>
      <w:pPr>
        <w:spacing w:after="0"/>
        <w:ind w:left="0"/>
        <w:jc w:val="both"/>
      </w:pPr>
      <w:r>
        <w:rPr>
          <w:rFonts w:ascii="Times New Roman"/>
          <w:b w:val="false"/>
          <w:i/>
          <w:color w:val="000000"/>
          <w:sz w:val="28"/>
        </w:rPr>
        <w:t xml:space="preserve">      Министр                                    Б. Жамишев </w:t>
      </w:r>
    </w:p>
    <w:bookmarkStart w:name="z18"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марта 2012 года № 127 </w:t>
      </w:r>
    </w:p>
    <w:bookmarkEnd w:id="2"/>
    <w:bookmarkStart w:name="z19" w:id="3"/>
    <w:p>
      <w:pPr>
        <w:spacing w:after="0"/>
        <w:ind w:left="0"/>
        <w:jc w:val="both"/>
      </w:pPr>
      <w:r>
        <w:rPr>
          <w:rFonts w:ascii="Times New Roman"/>
          <w:b w:val="false"/>
          <w:i w:val="false"/>
          <w:color w:val="000000"/>
          <w:sz w:val="28"/>
        </w:rPr>
        <w:t xml:space="preserve">
Приложение 52      </w:t>
      </w:r>
      <w:r>
        <w:br/>
      </w:r>
      <w:r>
        <w:rPr>
          <w:rFonts w:ascii="Times New Roman"/>
          <w:b w:val="false"/>
          <w:i w:val="false"/>
          <w:color w:val="000000"/>
          <w:sz w:val="28"/>
        </w:rPr>
        <w:t xml:space="preserve">
к Правилам составлении и   </w:t>
      </w:r>
      <w:r>
        <w:br/>
      </w:r>
      <w:r>
        <w:rPr>
          <w:rFonts w:ascii="Times New Roman"/>
          <w:b w:val="false"/>
          <w:i w:val="false"/>
          <w:color w:val="000000"/>
          <w:sz w:val="28"/>
        </w:rPr>
        <w:t>
представления бюджетной заявки</w:t>
      </w:r>
    </w:p>
    <w:bookmarkEnd w:id="3"/>
    <w:p>
      <w:pPr>
        <w:spacing w:after="0"/>
        <w:ind w:left="0"/>
        <w:jc w:val="both"/>
      </w:pPr>
      <w:r>
        <w:rPr>
          <w:rFonts w:ascii="Times New Roman"/>
          <w:b w:val="false"/>
          <w:i w:val="false"/>
          <w:color w:val="000000"/>
          <w:sz w:val="28"/>
        </w:rPr>
        <w:t>Форма 02-411</w:t>
      </w:r>
    </w:p>
    <w:bookmarkStart w:name="z20" w:id="4"/>
    <w:p>
      <w:pPr>
        <w:spacing w:after="0"/>
        <w:ind w:left="0"/>
        <w:jc w:val="left"/>
      </w:pPr>
      <w:r>
        <w:rPr>
          <w:rFonts w:ascii="Times New Roman"/>
          <w:b/>
          <w:i w:val="false"/>
          <w:color w:val="000000"/>
        </w:rPr>
        <w:t xml:space="preserve"> 
Расчет расходов на приобретение автомобильных транспортных</w:t>
      </w:r>
      <w:r>
        <w:br/>
      </w:r>
      <w:r>
        <w:rPr>
          <w:rFonts w:ascii="Times New Roman"/>
          <w:b/>
          <w:i w:val="false"/>
          <w:color w:val="000000"/>
        </w:rPr>
        <w:t>
средств</w:t>
      </w:r>
    </w:p>
    <w:bookmarkEnd w:id="4"/>
    <w:p>
      <w:pPr>
        <w:spacing w:after="0"/>
        <w:ind w:left="0"/>
        <w:jc w:val="both"/>
      </w:pPr>
      <w:r>
        <w:rPr>
          <w:rFonts w:ascii="Times New Roman"/>
          <w:b w:val="false"/>
          <w:i w:val="false"/>
          <w:color w:val="000000"/>
          <w:sz w:val="28"/>
        </w:rPr>
        <w:t>                                                Код</w:t>
      </w:r>
      <w:r>
        <w:br/>
      </w:r>
      <w:r>
        <w:rPr>
          <w:rFonts w:ascii="Times New Roman"/>
          <w:b w:val="false"/>
          <w:i w:val="false"/>
          <w:color w:val="000000"/>
          <w:sz w:val="28"/>
        </w:rPr>
        <w:t>
Год:                                          _________</w:t>
      </w:r>
      <w:r>
        <w:br/>
      </w:r>
      <w:r>
        <w:rPr>
          <w:rFonts w:ascii="Times New Roman"/>
          <w:b w:val="false"/>
          <w:i w:val="false"/>
          <w:color w:val="000000"/>
          <w:sz w:val="28"/>
        </w:rPr>
        <w:t>
Вид данных (прогноз, план, отчет);           |         |</w:t>
      </w:r>
      <w:r>
        <w:br/>
      </w:r>
      <w:r>
        <w:rPr>
          <w:rFonts w:ascii="Times New Roman"/>
          <w:b w:val="false"/>
          <w:i w:val="false"/>
          <w:color w:val="000000"/>
          <w:sz w:val="28"/>
        </w:rPr>
        <w:t>
Функциональная группа:                       |         |</w:t>
      </w:r>
      <w:r>
        <w:br/>
      </w:r>
      <w:r>
        <w:rPr>
          <w:rFonts w:ascii="Times New Roman"/>
          <w:b w:val="false"/>
          <w:i w:val="false"/>
          <w:color w:val="000000"/>
          <w:sz w:val="28"/>
        </w:rPr>
        <w:t>
Администратор бюджетных программ:            |         |</w:t>
      </w:r>
      <w:r>
        <w:br/>
      </w:r>
      <w:r>
        <w:rPr>
          <w:rFonts w:ascii="Times New Roman"/>
          <w:b w:val="false"/>
          <w:i w:val="false"/>
          <w:color w:val="000000"/>
          <w:sz w:val="28"/>
        </w:rPr>
        <w:t>
государственное учреждение:                  |         |</w:t>
      </w:r>
      <w:r>
        <w:br/>
      </w:r>
      <w:r>
        <w:rPr>
          <w:rFonts w:ascii="Times New Roman"/>
          <w:b w:val="false"/>
          <w:i w:val="false"/>
          <w:color w:val="000000"/>
          <w:sz w:val="28"/>
        </w:rPr>
        <w:t>
Бюджетная программа:                         |         |</w:t>
      </w:r>
      <w:r>
        <w:br/>
      </w:r>
      <w:r>
        <w:rPr>
          <w:rFonts w:ascii="Times New Roman"/>
          <w:b w:val="false"/>
          <w:i w:val="false"/>
          <w:color w:val="000000"/>
          <w:sz w:val="28"/>
        </w:rPr>
        <w:t>
Специфика: Приобретение товаров,             |   411   |</w:t>
      </w:r>
      <w:r>
        <w:br/>
      </w:r>
      <w:r>
        <w:rPr>
          <w:rFonts w:ascii="Times New Roman"/>
          <w:b w:val="false"/>
          <w:i w:val="false"/>
          <w:color w:val="000000"/>
          <w:sz w:val="28"/>
        </w:rPr>
        <w:t>
относящихся к основным средствам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1"/>
        <w:gridCol w:w="1397"/>
        <w:gridCol w:w="1204"/>
        <w:gridCol w:w="1055"/>
        <w:gridCol w:w="943"/>
        <w:gridCol w:w="756"/>
        <w:gridCol w:w="1430"/>
        <w:gridCol w:w="1641"/>
        <w:gridCol w:w="1133"/>
        <w:gridCol w:w="1550"/>
      </w:tblGrid>
      <w:tr>
        <w:trPr>
          <w:trHeight w:val="30" w:hRule="atLeast"/>
        </w:trPr>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транспорт-</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средства</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утверж-</w:t>
            </w:r>
            <w:r>
              <w:br/>
            </w:r>
            <w:r>
              <w:rPr>
                <w:rFonts w:ascii="Times New Roman"/>
                <w:b w:val="false"/>
                <w:i w:val="false"/>
                <w:color w:val="000000"/>
                <w:sz w:val="20"/>
              </w:rPr>
              <w:t>
</w:t>
            </w:r>
            <w:r>
              <w:rPr>
                <w:rFonts w:ascii="Times New Roman"/>
                <w:b w:val="false"/>
                <w:i w:val="false"/>
                <w:color w:val="000000"/>
                <w:sz w:val="20"/>
              </w:rPr>
              <w:t>денным</w:t>
            </w:r>
            <w:r>
              <w:br/>
            </w:r>
            <w:r>
              <w:rPr>
                <w:rFonts w:ascii="Times New Roman"/>
                <w:b w:val="false"/>
                <w:i w:val="false"/>
                <w:color w:val="000000"/>
                <w:sz w:val="20"/>
              </w:rPr>
              <w:t>
</w:t>
            </w:r>
            <w:r>
              <w:rPr>
                <w:rFonts w:ascii="Times New Roman"/>
                <w:b w:val="false"/>
                <w:i w:val="false"/>
                <w:color w:val="000000"/>
                <w:sz w:val="20"/>
              </w:rPr>
              <w:t>нормати-</w:t>
            </w:r>
            <w:r>
              <w:br/>
            </w:r>
            <w:r>
              <w:rPr>
                <w:rFonts w:ascii="Times New Roman"/>
                <w:b w:val="false"/>
                <w:i w:val="false"/>
                <w:color w:val="000000"/>
                <w:sz w:val="20"/>
              </w:rPr>
              <w:t>
</w:t>
            </w:r>
            <w:r>
              <w:rPr>
                <w:rFonts w:ascii="Times New Roman"/>
                <w:b w:val="false"/>
                <w:i w:val="false"/>
                <w:color w:val="000000"/>
                <w:sz w:val="20"/>
              </w:rPr>
              <w:t>вам</w:t>
            </w:r>
            <w:r>
              <w:br/>
            </w:r>
            <w:r>
              <w:rPr>
                <w:rFonts w:ascii="Times New Roman"/>
                <w:b w:val="false"/>
                <w:i w:val="false"/>
                <w:color w:val="000000"/>
                <w:sz w:val="20"/>
              </w:rPr>
              <w:t>
</w:t>
            </w:r>
            <w:r>
              <w:rPr>
                <w:rFonts w:ascii="Times New Roman"/>
                <w:b w:val="false"/>
                <w:i w:val="false"/>
                <w:color w:val="000000"/>
                <w:sz w:val="20"/>
              </w:rPr>
              <w:t>(ед.)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w:t>
            </w:r>
            <w:r>
              <w:br/>
            </w:r>
            <w:r>
              <w:rPr>
                <w:rFonts w:ascii="Times New Roman"/>
                <w:b w:val="false"/>
                <w:i w:val="false"/>
                <w:color w:val="000000"/>
                <w:sz w:val="20"/>
              </w:rPr>
              <w:t>
</w:t>
            </w: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автомобильных</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имеющиеся в</w:t>
            </w:r>
            <w:r>
              <w:br/>
            </w:r>
            <w:r>
              <w:rPr>
                <w:rFonts w:ascii="Times New Roman"/>
                <w:b w:val="false"/>
                <w:i w:val="false"/>
                <w:color w:val="000000"/>
                <w:sz w:val="20"/>
              </w:rPr>
              <w:t>
</w:t>
            </w:r>
            <w:r>
              <w:rPr>
                <w:rFonts w:ascii="Times New Roman"/>
                <w:b w:val="false"/>
                <w:i w:val="false"/>
                <w:color w:val="000000"/>
                <w:sz w:val="20"/>
              </w:rPr>
              <w:t>наличии (ед.)</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вы-</w:t>
            </w:r>
            <w:r>
              <w:br/>
            </w:r>
            <w:r>
              <w:rPr>
                <w:rFonts w:ascii="Times New Roman"/>
                <w:b w:val="false"/>
                <w:i w:val="false"/>
                <w:color w:val="000000"/>
                <w:sz w:val="20"/>
              </w:rPr>
              <w:t>
</w:t>
            </w:r>
            <w:r>
              <w:rPr>
                <w:rFonts w:ascii="Times New Roman"/>
                <w:b w:val="false"/>
                <w:i w:val="false"/>
                <w:color w:val="000000"/>
                <w:sz w:val="20"/>
              </w:rPr>
              <w:t>пуска</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предус-</w:t>
            </w:r>
            <w:r>
              <w:br/>
            </w:r>
            <w:r>
              <w:rPr>
                <w:rFonts w:ascii="Times New Roman"/>
                <w:b w:val="false"/>
                <w:i w:val="false"/>
                <w:color w:val="000000"/>
                <w:sz w:val="20"/>
              </w:rPr>
              <w:t>
</w:t>
            </w:r>
            <w:r>
              <w:rPr>
                <w:rFonts w:ascii="Times New Roman"/>
                <w:b w:val="false"/>
                <w:i w:val="false"/>
                <w:color w:val="000000"/>
                <w:sz w:val="20"/>
              </w:rPr>
              <w:t>мотренная</w:t>
            </w:r>
            <w:r>
              <w:br/>
            </w:r>
            <w:r>
              <w:rPr>
                <w:rFonts w:ascii="Times New Roman"/>
                <w:b w:val="false"/>
                <w:i w:val="false"/>
                <w:color w:val="000000"/>
                <w:sz w:val="20"/>
              </w:rPr>
              <w:t>
</w:t>
            </w:r>
            <w:r>
              <w:rPr>
                <w:rFonts w:ascii="Times New Roman"/>
                <w:b w:val="false"/>
                <w:i w:val="false"/>
                <w:color w:val="000000"/>
                <w:sz w:val="20"/>
              </w:rPr>
              <w:t>в бюджете</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года(тыс.</w:t>
            </w:r>
            <w:r>
              <w:br/>
            </w:r>
            <w:r>
              <w:rPr>
                <w:rFonts w:ascii="Times New Roman"/>
                <w:b w:val="false"/>
                <w:i w:val="false"/>
                <w:color w:val="000000"/>
                <w:sz w:val="20"/>
              </w:rPr>
              <w:t>
</w:t>
            </w:r>
            <w:r>
              <w:rPr>
                <w:rFonts w:ascii="Times New Roman"/>
                <w:b w:val="false"/>
                <w:i w:val="false"/>
                <w:color w:val="000000"/>
                <w:sz w:val="20"/>
              </w:rPr>
              <w:t>тенге)</w:t>
            </w:r>
          </w:p>
        </w:tc>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транспорт-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планируе-</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приобрести</w:t>
            </w:r>
            <w:r>
              <w:br/>
            </w:r>
            <w:r>
              <w:rPr>
                <w:rFonts w:ascii="Times New Roman"/>
                <w:b w:val="false"/>
                <w:i w:val="false"/>
                <w:color w:val="000000"/>
                <w:sz w:val="20"/>
              </w:rPr>
              <w:t>
</w:t>
            </w:r>
            <w:r>
              <w:rPr>
                <w:rFonts w:ascii="Times New Roman"/>
                <w:b w:val="false"/>
                <w:i w:val="false"/>
                <w:color w:val="000000"/>
                <w:sz w:val="20"/>
              </w:rPr>
              <w:t>(ед.)</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зa</w:t>
            </w:r>
            <w:r>
              <w:br/>
            </w:r>
            <w:r>
              <w:rPr>
                <w:rFonts w:ascii="Times New Roman"/>
                <w:b w:val="false"/>
                <w:i w:val="false"/>
                <w:color w:val="000000"/>
                <w:sz w:val="20"/>
              </w:rPr>
              <w:t>
</w:t>
            </w:r>
            <w:r>
              <w:rPr>
                <w:rFonts w:ascii="Times New Roman"/>
                <w:b w:val="false"/>
                <w:i w:val="false"/>
                <w:color w:val="000000"/>
                <w:sz w:val="20"/>
              </w:rPr>
              <w:t>единицу</w:t>
            </w:r>
            <w:r>
              <w:br/>
            </w:r>
            <w:r>
              <w:rPr>
                <w:rFonts w:ascii="Times New Roman"/>
                <w:b w:val="false"/>
                <w:i w:val="false"/>
                <w:color w:val="000000"/>
                <w:sz w:val="20"/>
              </w:rPr>
              <w:t>
</w:t>
            </w:r>
            <w:r>
              <w:rPr>
                <w:rFonts w:ascii="Times New Roman"/>
                <w:b w:val="false"/>
                <w:i w:val="false"/>
                <w:color w:val="000000"/>
                <w:sz w:val="20"/>
              </w:rPr>
              <w:t>(тенге)</w:t>
            </w: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(гр.хгр.</w:t>
            </w:r>
            <w:r>
              <w:br/>
            </w:r>
            <w:r>
              <w:rPr>
                <w:rFonts w:ascii="Times New Roman"/>
                <w:b w:val="false"/>
                <w:i w:val="false"/>
                <w:color w:val="000000"/>
                <w:sz w:val="20"/>
              </w:rPr>
              <w:t>
</w:t>
            </w:r>
            <w:r>
              <w:rPr>
                <w:rFonts w:ascii="Times New Roman"/>
                <w:b w:val="false"/>
                <w:i w:val="false"/>
                <w:color w:val="000000"/>
                <w:sz w:val="20"/>
              </w:rPr>
              <w:t>9)/1000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балансе</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Служебные</w:t>
            </w:r>
            <w:r>
              <w:br/>
            </w:r>
            <w:r>
              <w:rPr>
                <w:rFonts w:ascii="Times New Roman"/>
                <w:b w:val="false"/>
                <w:i w:val="false"/>
                <w:color w:val="000000"/>
                <w:sz w:val="20"/>
              </w:rPr>
              <w:t>
</w:t>
            </w:r>
            <w:r>
              <w:rPr>
                <w:rFonts w:ascii="Times New Roman"/>
                <w:b w:val="false"/>
                <w:i w:val="false"/>
                <w:color w:val="000000"/>
                <w:sz w:val="20"/>
              </w:rPr>
              <w:t>легковые</w:t>
            </w:r>
            <w:r>
              <w:br/>
            </w:r>
            <w:r>
              <w:rPr>
                <w:rFonts w:ascii="Times New Roman"/>
                <w:b w:val="false"/>
                <w:i w:val="false"/>
                <w:color w:val="000000"/>
                <w:sz w:val="20"/>
              </w:rPr>
              <w:t>
</w:t>
            </w:r>
            <w:r>
              <w:rPr>
                <w:rFonts w:ascii="Times New Roman"/>
                <w:b w:val="false"/>
                <w:i w:val="false"/>
                <w:color w:val="000000"/>
                <w:sz w:val="20"/>
              </w:rPr>
              <w:t>автомобили:</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Дежурные</w:t>
            </w:r>
            <w:r>
              <w:br/>
            </w:r>
            <w:r>
              <w:rPr>
                <w:rFonts w:ascii="Times New Roman"/>
                <w:b w:val="false"/>
                <w:i w:val="false"/>
                <w:color w:val="000000"/>
                <w:sz w:val="20"/>
              </w:rPr>
              <w:t>
</w:t>
            </w:r>
            <w:r>
              <w:rPr>
                <w:rFonts w:ascii="Times New Roman"/>
                <w:b w:val="false"/>
                <w:i w:val="false"/>
                <w:color w:val="000000"/>
                <w:sz w:val="20"/>
              </w:rPr>
              <w:t>легковые</w:t>
            </w:r>
            <w:r>
              <w:br/>
            </w:r>
            <w:r>
              <w:rPr>
                <w:rFonts w:ascii="Times New Roman"/>
                <w:b w:val="false"/>
                <w:i w:val="false"/>
                <w:color w:val="000000"/>
                <w:sz w:val="20"/>
              </w:rPr>
              <w:t>
</w:t>
            </w:r>
            <w:r>
              <w:rPr>
                <w:rFonts w:ascii="Times New Roman"/>
                <w:b w:val="false"/>
                <w:i w:val="false"/>
                <w:color w:val="000000"/>
                <w:sz w:val="20"/>
              </w:rPr>
              <w:t>автомобили:</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Специальные</w:t>
            </w:r>
            <w:r>
              <w:br/>
            </w:r>
            <w:r>
              <w:rPr>
                <w:rFonts w:ascii="Times New Roman"/>
                <w:b w:val="false"/>
                <w:i w:val="false"/>
                <w:color w:val="000000"/>
                <w:sz w:val="20"/>
              </w:rPr>
              <w:t>
</w:t>
            </w:r>
            <w:r>
              <w:rPr>
                <w:rFonts w:ascii="Times New Roman"/>
                <w:b w:val="false"/>
                <w:i w:val="false"/>
                <w:color w:val="000000"/>
                <w:sz w:val="20"/>
              </w:rPr>
              <w:t>легковые</w:t>
            </w:r>
            <w:r>
              <w:br/>
            </w:r>
            <w:r>
              <w:rPr>
                <w:rFonts w:ascii="Times New Roman"/>
                <w:b w:val="false"/>
                <w:i w:val="false"/>
                <w:color w:val="000000"/>
                <w:sz w:val="20"/>
              </w:rPr>
              <w:t>
</w:t>
            </w:r>
            <w:r>
              <w:rPr>
                <w:rFonts w:ascii="Times New Roman"/>
                <w:b w:val="false"/>
                <w:i w:val="false"/>
                <w:color w:val="000000"/>
                <w:sz w:val="20"/>
              </w:rPr>
              <w:t>автомобили:</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(Ответственный секретарь центрального исполнительного</w:t>
      </w:r>
      <w:r>
        <w:br/>
      </w:r>
      <w:r>
        <w:rPr>
          <w:rFonts w:ascii="Times New Roman"/>
          <w:b w:val="false"/>
          <w:i w:val="false"/>
          <w:color w:val="000000"/>
          <w:sz w:val="28"/>
        </w:rPr>
        <w:t>
органа/руководитель государственного учреждения</w:t>
      </w:r>
      <w:r>
        <w:br/>
      </w:r>
      <w:r>
        <w:rPr>
          <w:rFonts w:ascii="Times New Roman"/>
          <w:b w:val="false"/>
          <w:i w:val="false"/>
          <w:color w:val="000000"/>
          <w:sz w:val="28"/>
        </w:rPr>
        <w:t>
______________________ _________________________________</w:t>
      </w:r>
      <w:r>
        <w:br/>
      </w:r>
      <w:r>
        <w:rPr>
          <w:rFonts w:ascii="Times New Roman"/>
          <w:b w:val="false"/>
          <w:i w:val="false"/>
          <w:color w:val="000000"/>
          <w:sz w:val="28"/>
        </w:rPr>
        <w:t>
      (подпись)                     (Ф.И.О.)</w:t>
      </w:r>
      <w:r>
        <w:br/>
      </w:r>
      <w:r>
        <w:rPr>
          <w:rFonts w:ascii="Times New Roman"/>
          <w:b w:val="false"/>
          <w:i w:val="false"/>
          <w:color w:val="000000"/>
          <w:sz w:val="28"/>
        </w:rPr>
        <w:t>
      Главный бухгалтер (начальник ФЭО)</w:t>
      </w:r>
      <w:r>
        <w:br/>
      </w:r>
      <w:r>
        <w:rPr>
          <w:rFonts w:ascii="Times New Roman"/>
          <w:b w:val="false"/>
          <w:i w:val="false"/>
          <w:color w:val="000000"/>
          <w:sz w:val="28"/>
        </w:rPr>
        <w:t>
______________________ _________________________________</w:t>
      </w:r>
      <w:r>
        <w:br/>
      </w:r>
      <w:r>
        <w:rPr>
          <w:rFonts w:ascii="Times New Roman"/>
          <w:b w:val="false"/>
          <w:i w:val="false"/>
          <w:color w:val="000000"/>
          <w:sz w:val="28"/>
        </w:rPr>
        <w:t>
      (подпись)                     (Ф.И.О.)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