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305d" w14:textId="3933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5 августа 2009 года № 189 "Об утверяедении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февраля 2012 года № 35. Зарегистрировано в Министерстве юстиции Республики Казахстан 4 апреля 2012 года № 7521.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189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(зарегистрированное в Реестре государственной регистрации нормативных правовых актов под № 5794)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разработаны в соответствии с законами Республики Казахстан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и надзоре финансового рынка и финансовых организаций</w:t>
      </w:r>
      <w:r>
        <w:rPr>
          <w:rFonts w:ascii="Times New Roman"/>
          <w:b w:val="false"/>
          <w:i w:val="false"/>
          <w:color w:val="000000"/>
          <w:sz w:val="28"/>
        </w:rPr>
        <w:t>" (далее - Закон о государственном регулировании), и устанавливают порядок осуществления деятельности организаций, осуществляющих деятельность по инвестиционному управлению пенсионными активами (далее - Организация), и накопительных пенсионных фондов (далее - Фонд).</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котировка - ценовые предложения контрпартнеров по финансовым инструментам, полученные посредством почтовой, электронной или факсимильной связи;</w:t>
      </w:r>
      <w:r>
        <w:br/>
      </w:r>
      <w:r>
        <w:rPr>
          <w:rFonts w:ascii="Times New Roman"/>
          <w:b w:val="false"/>
          <w:i w:val="false"/>
          <w:color w:val="000000"/>
          <w:sz w:val="28"/>
        </w:rPr>
        <w:t>
      2) контрпартнер - юридическое лицо,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w:t>
      </w:r>
      <w:r>
        <w:br/>
      </w:r>
      <w:r>
        <w:rPr>
          <w:rFonts w:ascii="Times New Roman"/>
          <w:b w:val="false"/>
          <w:i w:val="false"/>
          <w:color w:val="000000"/>
          <w:sz w:val="28"/>
        </w:rPr>
        <w:t>
      3) политика инвестирования собственных активов - документ, пределяющий перечень объектов инвестирования, цели, стратегии, условия и ограничения инвестиционной деятельности в отношении собственных активов (Организации) Фонда, условия хеджирования и диверсификации собственных активов, утвержденный советом директоров Организации (Фонда);</w:t>
      </w:r>
      <w:r>
        <w:br/>
      </w:r>
      <w:r>
        <w:rPr>
          <w:rFonts w:ascii="Times New Roman"/>
          <w:b w:val="false"/>
          <w:i w:val="false"/>
          <w:color w:val="000000"/>
          <w:sz w:val="28"/>
        </w:rPr>
        <w:t>
      4) уполномоченный орган - Национальный Банк Республики Казахстан;</w:t>
      </w:r>
      <w:r>
        <w:br/>
      </w:r>
      <w:r>
        <w:rPr>
          <w:rFonts w:ascii="Times New Roman"/>
          <w:b w:val="false"/>
          <w:i w:val="false"/>
          <w:color w:val="000000"/>
          <w:sz w:val="28"/>
        </w:rPr>
        <w:t>
      5) международная финансовая организация - организация, имеющаямеждународный статус, созданная и действующая на основании международного договора (соглашения) либо устава;</w:t>
      </w:r>
      <w:r>
        <w:br/>
      </w:r>
      <w:r>
        <w:rPr>
          <w:rFonts w:ascii="Times New Roman"/>
          <w:b w:val="false"/>
          <w:i w:val="false"/>
          <w:color w:val="000000"/>
          <w:sz w:val="28"/>
        </w:rPr>
        <w:t>
      6) инструменты хеджирования - производные финансовые инструменты, используемые для осуществления операций хеджирования, указанные в приложениях 1, 2, 3 и 4 к настоящим Правилам;</w:t>
      </w:r>
      <w:r>
        <w:br/>
      </w:r>
      <w:r>
        <w:rPr>
          <w:rFonts w:ascii="Times New Roman"/>
          <w:b w:val="false"/>
          <w:i w:val="false"/>
          <w:color w:val="000000"/>
          <w:sz w:val="28"/>
        </w:rPr>
        <w:t>
      7) principal protected notes - долговые ценные бумаги, по которым установлена гарантия эмитента по полному возврату суммы основного долга.";</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Акции Фонда включаются в первую (наивысшую), вторую (наивысшую) или третью (следующую за наивысшей) категорию сектора "акции" официального списка фондовой биржи.";</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Фонд осуществляет покупку или продажу за счет собственных активов следующего имущества:</w:t>
      </w:r>
      <w:r>
        <w:br/>
      </w:r>
      <w:r>
        <w:rPr>
          <w:rFonts w:ascii="Times New Roman"/>
          <w:b w:val="false"/>
          <w:i w:val="false"/>
          <w:color w:val="000000"/>
          <w:sz w:val="28"/>
        </w:rPr>
        <w:t>
      1) указанного в перечне финансовых инструментов, разрешенных к приобретению за счет пенсионных активов, определенном в приложениях 1, 2, 3 и 4 к настоящим Правилам;</w:t>
      </w:r>
      <w:r>
        <w:br/>
      </w:r>
      <w:r>
        <w:rPr>
          <w:rFonts w:ascii="Times New Roman"/>
          <w:b w:val="false"/>
          <w:i w:val="false"/>
          <w:color w:val="000000"/>
          <w:sz w:val="28"/>
        </w:rPr>
        <w:t>
      2) используемого для собственных нужд Фонда и выполнения Фондом деятельности по привлечению пенсионных взносов и пенсионным выплатам, а также деятельности по инвестиционному управлению пенсионными активами;</w:t>
      </w:r>
      <w:r>
        <w:br/>
      </w:r>
      <w:r>
        <w:rPr>
          <w:rFonts w:ascii="Times New Roman"/>
          <w:b w:val="false"/>
          <w:i w:val="false"/>
          <w:color w:val="000000"/>
          <w:sz w:val="28"/>
        </w:rPr>
        <w:t>
      3) акций и долей участия* в уставных капиталах юридических лиц, осуществляющих автоматизацию деятельности Фонда в размере, не превышающем десяти процентов от уставного капитала данных юридических лиц;</w:t>
      </w:r>
      <w:r>
        <w:br/>
      </w:r>
      <w:r>
        <w:rPr>
          <w:rFonts w:ascii="Times New Roman"/>
          <w:b w:val="false"/>
          <w:i w:val="false"/>
          <w:color w:val="000000"/>
          <w:sz w:val="28"/>
        </w:rPr>
        <w:t>
      4) акций и долей участия в уставных капиталах юридических лиц, созданных одним или несколькими Фондами для координации своей деятельности, защиты и представления общих интересов, осуществления совместных проектов и решения общих задач. Допускается оплата за счет собственных активов Фонда членеких взносов в ассоциации и (или) союзы, созданные для реализации целей, указанных в настоящем подпункте.";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 Организация (Фонд) не приобретает за счет пенсионных и (или) собственных активов доли участия в уставных капиталах аффилиированных лиц, акции, выпущенные аффилиированными лицами, либо депозитарные расписки, базовым активом которых являются такие акции,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либо депозитарных расписок, базовым активом которых являются такие акции.";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Если в результате каких-либо обстоятельств структура портфеля финансовых инструментов, приобретенных за счет пенсионных активов или собственных активов Организации (Фонда), перестанет соответствовать условиям, установленным настоящими Правилами, пруденциальными нормативами, инвестиционной декларацией или политикой по управлению собственными активами Организации (Фонда), Организация (Фонд) незамедлительно прекращает инвестиционную деятельность, связанную с таким несоответствием, и в течение одного рабочего дня сообщает уполномоченному органу о факте и причинах данного несоответствия с приложением плана мероприятий по его устранению с указанием наименования мероприятий, руководящих работников Организации (Фонда), ответственных за их исполнение, и сроков исполнения.</w:t>
      </w:r>
      <w:r>
        <w:br/>
      </w:r>
      <w:r>
        <w:rPr>
          <w:rFonts w:ascii="Times New Roman"/>
          <w:b w:val="false"/>
          <w:i w:val="false"/>
          <w:color w:val="000000"/>
          <w:sz w:val="28"/>
        </w:rPr>
        <w:t>
      Уполномоченный орган рассматривает план мероприятий в течение пяти рабочих дней. При одобрении плана мероприятий уполномоченным органом, Организация (Фонд) приступает к его реализации и представляет в уполномоченный орган отчеты о выполнении мероприятий не позднее пяти рабочих дней по истечении сроков исполнения мероприятий, установленных планом мероприятий. При получении замечаний уполномоченного органа к плану мероприятий Организация (Фонд) представляет в уполномоченный орган откорректированный план мероприятий не позднее пяти рабочих дней с даты получения письма уполномоченного органа о результатах рассмотрения плана мероприятий.";</w:t>
      </w:r>
      <w:r>
        <w:br/>
      </w:r>
      <w:r>
        <w:rPr>
          <w:rFonts w:ascii="Times New Roman"/>
          <w:b w:val="false"/>
          <w:i w:val="false"/>
          <w:color w:val="000000"/>
          <w:sz w:val="28"/>
        </w:rPr>
        <w:t>
</w:t>
      </w:r>
      <w:r>
        <w:rPr>
          <w:rFonts w:ascii="Times New Roman"/>
          <w:b w:val="false"/>
          <w:i w:val="false"/>
          <w:color w:val="000000"/>
          <w:sz w:val="28"/>
        </w:rPr>
        <w:t>
      строку, порядковый номер 9, пункта 1 "Перечень финансовых инструментов, в которые Организация (Фонд) размещает находящиеся в инвестиционном управлении пенсионные активы умеренного инвестиционного портфеля каждого отдельного Фонда, и требования, предъявляемые к ним:" приложения 3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2501"/>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w:t>
            </w:r>
            <w:r>
              <w:br/>
            </w:r>
            <w:r>
              <w:rPr>
                <w:rFonts w:ascii="Times New Roman"/>
                <w:b w:val="false"/>
                <w:i w:val="false"/>
                <w:color w:val="000000"/>
                <w:sz w:val="20"/>
              </w:rPr>
              <w:t>
Республики Казахстан в соответствии с законодательством</w:t>
            </w:r>
            <w:r>
              <w:br/>
            </w:r>
            <w:r>
              <w:rPr>
                <w:rFonts w:ascii="Times New Roman"/>
                <w:b w:val="false"/>
                <w:i w:val="false"/>
                <w:color w:val="000000"/>
                <w:sz w:val="20"/>
              </w:rPr>
              <w:t>
Республики Казахстан и других государств:</w:t>
            </w:r>
            <w:r>
              <w:br/>
            </w:r>
            <w:r>
              <w:rPr>
                <w:rFonts w:ascii="Times New Roman"/>
                <w:b w:val="false"/>
                <w:i w:val="false"/>
                <w:color w:val="000000"/>
                <w:sz w:val="20"/>
              </w:rPr>
              <w:t>
      акции эмитентов, имеющих рейтинговую оценку не ниже "ВВ-"</w:t>
            </w:r>
            <w:r>
              <w:br/>
            </w:r>
            <w:r>
              <w:rPr>
                <w:rFonts w:ascii="Times New Roman"/>
                <w:b w:val="false"/>
                <w:i w:val="false"/>
                <w:color w:val="000000"/>
                <w:sz w:val="20"/>
              </w:rPr>
              <w:t>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"kzBB" по</w:t>
            </w:r>
            <w:r>
              <w:br/>
            </w:r>
            <w:r>
              <w:rPr>
                <w:rFonts w:ascii="Times New Roman"/>
                <w:b w:val="false"/>
                <w:i w:val="false"/>
                <w:color w:val="000000"/>
                <w:sz w:val="20"/>
              </w:rPr>
              <w:t>
национальной шкале "Standard &amp; Poor's";</w:t>
            </w:r>
            <w:r>
              <w:br/>
            </w:r>
            <w:r>
              <w:rPr>
                <w:rFonts w:ascii="Times New Roman"/>
                <w:b w:val="false"/>
                <w:i w:val="false"/>
                <w:color w:val="000000"/>
                <w:sz w:val="20"/>
              </w:rPr>
              <w:t>
      акции, включенные в официальный список фондовой биржи,</w:t>
            </w:r>
            <w:r>
              <w:br/>
            </w:r>
            <w:r>
              <w:rPr>
                <w:rFonts w:ascii="Times New Roman"/>
                <w:b w:val="false"/>
                <w:i w:val="false"/>
                <w:color w:val="000000"/>
                <w:sz w:val="20"/>
              </w:rPr>
              <w:t>
соответствующие требованиям первой (наивысшей) категории сектора</w:t>
            </w:r>
            <w:r>
              <w:br/>
            </w:r>
            <w:r>
              <w:rPr>
                <w:rFonts w:ascii="Times New Roman"/>
                <w:b w:val="false"/>
                <w:i w:val="false"/>
                <w:color w:val="000000"/>
                <w:sz w:val="20"/>
              </w:rPr>
              <w:t>
"акции", предусмотренным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акции, включенные в официальный список фондовой биржи,</w:t>
            </w:r>
            <w:r>
              <w:br/>
            </w:r>
            <w:r>
              <w:rPr>
                <w:rFonts w:ascii="Times New Roman"/>
                <w:b w:val="false"/>
                <w:i w:val="false"/>
                <w:color w:val="000000"/>
                <w:sz w:val="20"/>
              </w:rPr>
              <w:t>
соответствующие требованиям второй (наивысшей) категории сектора</w:t>
            </w:r>
            <w:r>
              <w:br/>
            </w:r>
            <w:r>
              <w:rPr>
                <w:rFonts w:ascii="Times New Roman"/>
                <w:b w:val="false"/>
                <w:i w:val="false"/>
                <w:color w:val="000000"/>
                <w:sz w:val="20"/>
              </w:rPr>
              <w:t>
"акции", предусмотренным постановлением № 77;</w:t>
            </w:r>
            <w:r>
              <w:br/>
            </w:r>
            <w:r>
              <w:rPr>
                <w:rFonts w:ascii="Times New Roman"/>
                <w:b w:val="false"/>
                <w:i w:val="false"/>
                <w:color w:val="000000"/>
                <w:sz w:val="20"/>
              </w:rPr>
              <w:t>
      долговые ценные бумаги, имеющие рейтинговую оценку не ниже</w:t>
            </w:r>
            <w:r>
              <w:br/>
            </w:r>
            <w:r>
              <w:rPr>
                <w:rFonts w:ascii="Times New Roman"/>
                <w:b w:val="false"/>
                <w:i w:val="false"/>
                <w:color w:val="000000"/>
                <w:sz w:val="20"/>
              </w:rPr>
              <w:t>
"В-" по международной шкале агентства "Standard &amp; Poor's" или</w:t>
            </w:r>
            <w:r>
              <w:br/>
            </w:r>
            <w:r>
              <w:rPr>
                <w:rFonts w:ascii="Times New Roman"/>
                <w:b w:val="false"/>
                <w:i w:val="false"/>
                <w:color w:val="000000"/>
                <w:sz w:val="20"/>
              </w:rPr>
              <w:t>
рейтинговую оценку аналогичного уровня одного из других</w:t>
            </w:r>
            <w:r>
              <w:br/>
            </w:r>
            <w:r>
              <w:rPr>
                <w:rFonts w:ascii="Times New Roman"/>
                <w:b w:val="false"/>
                <w:i w:val="false"/>
                <w:color w:val="000000"/>
                <w:sz w:val="20"/>
              </w:rPr>
              <w:t>
рейтинговых агентств, или рейтинговую оценку не ниже "kzB" по</w:t>
            </w:r>
            <w:r>
              <w:br/>
            </w:r>
            <w:r>
              <w:rPr>
                <w:rFonts w:ascii="Times New Roman"/>
                <w:b w:val="false"/>
                <w:i w:val="false"/>
                <w:color w:val="000000"/>
                <w:sz w:val="20"/>
              </w:rPr>
              <w:t>
национальной шкале "Standard &amp; Poor's";</w:t>
            </w:r>
            <w:r>
              <w:br/>
            </w:r>
            <w:r>
              <w:rPr>
                <w:rFonts w:ascii="Times New Roman"/>
                <w:b w:val="false"/>
                <w:i w:val="false"/>
                <w:color w:val="000000"/>
                <w:sz w:val="20"/>
              </w:rPr>
              <w:t>
      долговые ценные бумаги, включенные в официальный список</w:t>
            </w:r>
            <w:r>
              <w:br/>
            </w:r>
            <w:r>
              <w:rPr>
                <w:rFonts w:ascii="Times New Roman"/>
                <w:b w:val="false"/>
                <w:i w:val="false"/>
                <w:color w:val="000000"/>
                <w:sz w:val="20"/>
              </w:rPr>
              <w:t>
фондовой биржи, соответствующие требованиям категории "долговые</w:t>
            </w:r>
            <w:r>
              <w:br/>
            </w:r>
            <w:r>
              <w:rPr>
                <w:rFonts w:ascii="Times New Roman"/>
                <w:b w:val="false"/>
                <w:i w:val="false"/>
                <w:color w:val="000000"/>
                <w:sz w:val="20"/>
              </w:rPr>
              <w:t>
ценные бумаги без рейтинговой оценки",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инфраструктурные облигации организаций Республики</w:t>
            </w:r>
            <w:r>
              <w:br/>
            </w:r>
            <w:r>
              <w:rPr>
                <w:rFonts w:ascii="Times New Roman"/>
                <w:b w:val="false"/>
                <w:i w:val="false"/>
                <w:color w:val="000000"/>
                <w:sz w:val="20"/>
              </w:rPr>
              <w:t>
Казахстан, включенные в официальный список фондовой биржи,</w:t>
            </w:r>
            <w:r>
              <w:br/>
            </w:r>
            <w:r>
              <w:rPr>
                <w:rFonts w:ascii="Times New Roman"/>
                <w:b w:val="false"/>
                <w:i w:val="false"/>
                <w:color w:val="000000"/>
                <w:sz w:val="20"/>
              </w:rPr>
              <w:t>
соответствующие требованиям категории "долговые ценные бумаги без</w:t>
            </w:r>
            <w:r>
              <w:br/>
            </w:r>
            <w:r>
              <w:rPr>
                <w:rFonts w:ascii="Times New Roman"/>
                <w:b w:val="false"/>
                <w:i w:val="false"/>
                <w:color w:val="000000"/>
                <w:sz w:val="20"/>
              </w:rPr>
              <w:t>
рейтинговой оценки", предусмотренным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паи интервальных паевых инвестиционных фондов, управляющая</w:t>
            </w:r>
            <w:r>
              <w:br/>
            </w:r>
            <w:r>
              <w:rPr>
                <w:rFonts w:ascii="Times New Roman"/>
                <w:b w:val="false"/>
                <w:i w:val="false"/>
                <w:color w:val="000000"/>
                <w:sz w:val="20"/>
              </w:rPr>
              <w:t>
компания которых является юридическим лицом, созданным в</w:t>
            </w:r>
            <w:r>
              <w:br/>
            </w:r>
            <w:r>
              <w:rPr>
                <w:rFonts w:ascii="Times New Roman"/>
                <w:b w:val="false"/>
                <w:i w:val="false"/>
                <w:color w:val="000000"/>
                <w:sz w:val="20"/>
              </w:rPr>
              <w:t>
соответствии с законодательством Республики Казахстан, включенные</w:t>
            </w:r>
            <w:r>
              <w:br/>
            </w:r>
            <w:r>
              <w:rPr>
                <w:rFonts w:ascii="Times New Roman"/>
                <w:b w:val="false"/>
                <w:i w:val="false"/>
                <w:color w:val="000000"/>
                <w:sz w:val="20"/>
              </w:rPr>
              <w:t>
в официальный список фондовой биржи, соответствующие</w:t>
            </w:r>
            <w:r>
              <w:br/>
            </w:r>
            <w:r>
              <w:rPr>
                <w:rFonts w:ascii="Times New Roman"/>
                <w:b w:val="false"/>
                <w:i w:val="false"/>
                <w:color w:val="000000"/>
                <w:sz w:val="20"/>
              </w:rPr>
              <w:t>
требованиям сектора "ценные бумаги инвестиционных фондов",</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ценные бумаги, выпущенные в рамках реструктуризации</w:t>
            </w:r>
            <w:r>
              <w:br/>
            </w:r>
            <w:r>
              <w:rPr>
                <w:rFonts w:ascii="Times New Roman"/>
                <w:b w:val="false"/>
                <w:i w:val="false"/>
                <w:color w:val="000000"/>
                <w:sz w:val="20"/>
              </w:rPr>
              <w:t>
обязательств эмитента в целях обмена на ранее выпущенные ценные</w:t>
            </w:r>
            <w:r>
              <w:br/>
            </w:r>
            <w:r>
              <w:rPr>
                <w:rFonts w:ascii="Times New Roman"/>
                <w:b w:val="false"/>
                <w:i w:val="false"/>
                <w:color w:val="000000"/>
                <w:sz w:val="20"/>
              </w:rPr>
              <w:t>
бумаги либо иные обязательства данного эмитента".</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2. Организациям, осуществляющим деятельность по инвестиционному управлению пенсионными активами, и накопительным пенсионным фондам в течение трех месяцев после введения в действие настоящего постановления привести свои внутренние документы, определяющие порядок инвестирования собственных активов, в соответствие с настоящим поставдвлением.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