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7a29" w14:textId="b2f7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регистрации выпуска, а также размещения, обращения и аннулирования эмиссионных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февраля 2012 года № 77. Зарегистрировано в Министерстве юстиции Республики Казахстан 23 апреля 2012 года № 7535. Утратило силу постановлением Правления Национального Банка Республики Казахстан от 29 апреля 2016 года № 115</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29.04.2016 </w:t>
      </w:r>
      <w:r>
        <w:rPr>
          <w:rFonts w:ascii="Times New Roman"/>
          <w:b w:val="false"/>
          <w:i w:val="false"/>
          <w:color w:val="ff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законами Республики Казахстан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и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изменения и дополнения в некоторые нормативные правовые акты Республики Казахстан по вопросам регистрации выпуска, а также размещения, обращения и аннулирования эмиссионных ценных бумаг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июля 2003 года № 251 «О пруденциальных нормативах для финансового агентства и порядке утраты статуса финансового агентства» (зарегистрированное в Реестре государственной регистрации нормативных правовых актов под № 2449);</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приложения к постановлению Правления Агентства Республики Казахстан по регулированию и надзору финансового рынка и финансовых организаций от 3 сентября 2010 года № 131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(зарегистрированному в Реестре государственной регистрации нормативных правовых актов под № 6554).</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bookmarkStart w:name="z7"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2012 года № 77</w:t>
      </w:r>
    </w:p>
    <w:bookmarkEnd w:id="1"/>
    <w:bookmarkStart w:name="z8" w:id="2"/>
    <w:p>
      <w:pPr>
        <w:spacing w:after="0"/>
        <w:ind w:left="0"/>
        <w:jc w:val="left"/>
      </w:pPr>
      <w:r>
        <w:rPr>
          <w:rFonts w:ascii="Times New Roman"/>
          <w:b/>
          <w:i w:val="false"/>
          <w:color w:val="000000"/>
        </w:rPr>
        <w:t xml:space="preserve"> 
Изменения и дополнения, вносимые в некоторые</w:t>
      </w:r>
      <w:r>
        <w:br/>
      </w:r>
      <w:r>
        <w:rPr>
          <w:rFonts w:ascii="Times New Roman"/>
          <w:b/>
          <w:i w:val="false"/>
          <w:color w:val="000000"/>
        </w:rPr>
        <w:t>
нормативные правовые акты Республики Казахстан по вопросам</w:t>
      </w:r>
      <w:r>
        <w:br/>
      </w:r>
      <w:r>
        <w:rPr>
          <w:rFonts w:ascii="Times New Roman"/>
          <w:b/>
          <w:i w:val="false"/>
          <w:color w:val="000000"/>
        </w:rPr>
        <w:t>
регистрации выпуска, а также размещения, обращения и</w:t>
      </w:r>
      <w:r>
        <w:br/>
      </w:r>
      <w:r>
        <w:rPr>
          <w:rFonts w:ascii="Times New Roman"/>
          <w:b/>
          <w:i w:val="false"/>
          <w:color w:val="000000"/>
        </w:rPr>
        <w:t>
аннулирования эмиссионных ценных бумаг</w:t>
      </w:r>
    </w:p>
    <w:bookmarkEnd w:id="2"/>
    <w:bookmarkStart w:name="z9"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Правления Национального Банка РК от 29.02.2016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июля 2005 года № 269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(зарегистрированное в Реестре государственной регистрации нормативных правовых актов под № 3822)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Государственная регистрация выпуска облигаций (облигационной программы) и выпуска облигаций в пределах облигационной программы»;</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Для государственной регистрации выпуска облигаций (облигационной программы) эмитент представляет в Комитет по контролю и надзору финансового рынка и финансовых организаций Национального Банка Республики Казахстан (далее - уполномоченный орган) документы, установленные пунктом 1 </w:t>
      </w:r>
      <w:r>
        <w:rPr>
          <w:rFonts w:ascii="Times New Roman"/>
          <w:b w:val="false"/>
          <w:i w:val="false"/>
          <w:color w:val="000000"/>
          <w:sz w:val="28"/>
        </w:rPr>
        <w:t>статьи 12</w:t>
      </w:r>
      <w:r>
        <w:rPr>
          <w:rFonts w:ascii="Times New Roman"/>
          <w:b w:val="false"/>
          <w:i w:val="false"/>
          <w:color w:val="000000"/>
          <w:sz w:val="28"/>
        </w:rPr>
        <w:t xml:space="preserve"> Закона.</w:t>
      </w:r>
      <w:r>
        <w:br/>
      </w:r>
      <w:r>
        <w:rPr>
          <w:rFonts w:ascii="Times New Roman"/>
          <w:b w:val="false"/>
          <w:i w:val="false"/>
          <w:color w:val="000000"/>
          <w:sz w:val="28"/>
        </w:rPr>
        <w:t>
      Для государственной регистрации выпуска агентских облигаций эмитент, помимо документов, указанных в пункте 1 </w:t>
      </w:r>
      <w:r>
        <w:rPr>
          <w:rFonts w:ascii="Times New Roman"/>
          <w:b w:val="false"/>
          <w:i w:val="false"/>
          <w:color w:val="000000"/>
          <w:sz w:val="28"/>
        </w:rPr>
        <w:t>статьи 12</w:t>
      </w:r>
      <w:r>
        <w:rPr>
          <w:rFonts w:ascii="Times New Roman"/>
          <w:b w:val="false"/>
          <w:i w:val="false"/>
          <w:color w:val="000000"/>
          <w:sz w:val="28"/>
        </w:rPr>
        <w:t xml:space="preserve"> Закона, представляет копию документа, подтверждающего его полномочия на реализацию государственной инвестиционной политики в определенных сферах экономики в качестве финансового агентства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w:t>
      </w:r>
      <w:r>
        <w:br/>
      </w:r>
      <w:r>
        <w:rPr>
          <w:rFonts w:ascii="Times New Roman"/>
          <w:b w:val="false"/>
          <w:i w:val="false"/>
          <w:color w:val="000000"/>
          <w:sz w:val="28"/>
        </w:rPr>
        <w:t>
      Для государственной регистрации выпуска облигаций, конвертируемых в простые акции, в решении общего собрания акционеров указывается вид, количество конвертируемых ценных бумаг, цена размещения акций, в которые конвертируются облигации, а также информация о том, что выкупленная в результате конвертирования облигация не подлежит повторному размещению.</w:t>
      </w:r>
      <w:r>
        <w:br/>
      </w:r>
      <w:r>
        <w:rPr>
          <w:rFonts w:ascii="Times New Roman"/>
          <w:b w:val="false"/>
          <w:i w:val="false"/>
          <w:color w:val="000000"/>
          <w:sz w:val="28"/>
        </w:rPr>
        <w:t>
      Проспект выпуска облигаций (облигационной программы) составляется в двух экземплярах на бумажном носителе (на государственном и русском языках)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и на электронном носителе на государственном и русском языках (без финансовой отчетности общества) в формате Acrobat Reader. Каждый из двух экземпляров содержит проспект выпуска облигаций (облигационной программы) на государственном и русском языках.</w:t>
      </w:r>
      <w:r>
        <w:br/>
      </w:r>
      <w:r>
        <w:rPr>
          <w:rFonts w:ascii="Times New Roman"/>
          <w:b w:val="false"/>
          <w:i w:val="false"/>
          <w:color w:val="000000"/>
          <w:sz w:val="28"/>
        </w:rPr>
        <w:t>
      Неотъемлемой частью проспекта выпуска облигаций (облигационной программы) являются:</w:t>
      </w:r>
      <w:r>
        <w:br/>
      </w:r>
      <w:r>
        <w:rPr>
          <w:rFonts w:ascii="Times New Roman"/>
          <w:b w:val="false"/>
          <w:i w:val="false"/>
          <w:color w:val="000000"/>
          <w:sz w:val="28"/>
        </w:rPr>
        <w:t>
      копии годовой финансовой отчетности эмитента, за два последних финансовых года, подтвержденной аудиторскими отчетами, а также копии аудиторских отчетов и учетной политики эмитента (за исключением вновь созданных эмитентов) (в случае наличия дочерней (дочерних) организации (организаций) и наличия отдельной финансовой отчетности, подтвержденной аудиторским отчетом, представляется отдельная финансовая отчетность);</w:t>
      </w:r>
      <w:r>
        <w:br/>
      </w:r>
      <w:r>
        <w:rPr>
          <w:rFonts w:ascii="Times New Roman"/>
          <w:b w:val="false"/>
          <w:i w:val="false"/>
          <w:color w:val="000000"/>
          <w:sz w:val="28"/>
        </w:rPr>
        <w:t>
      копии финансовой отчетности эмитента по состоянию на конец последнего квартала перед подачей документов на государственную регистрацию выпуска облигаций (облигационной программы) (в случае наличия дочерней (дочерних) организации (организаций) представляется отдельная финансовая отчетность);</w:t>
      </w:r>
      <w:r>
        <w:br/>
      </w:r>
      <w:r>
        <w:rPr>
          <w:rFonts w:ascii="Times New Roman"/>
          <w:b w:val="false"/>
          <w:i w:val="false"/>
          <w:color w:val="000000"/>
          <w:sz w:val="28"/>
        </w:rPr>
        <w:t>
      копии договоров, заключенных с представителем держателей облигаций;</w:t>
      </w:r>
      <w:r>
        <w:br/>
      </w:r>
      <w:r>
        <w:rPr>
          <w:rFonts w:ascii="Times New Roman"/>
          <w:b w:val="false"/>
          <w:i w:val="false"/>
          <w:color w:val="000000"/>
          <w:sz w:val="28"/>
        </w:rPr>
        <w:t>
      копии договоров, заключенных с организациями, оказывающими консультационные услуги по вопросам включения и нахождения эмиссионных ценных бумаг в официальном списке фондовой биржи, для эмитентов, планирующих размещение облигаций на организованном рынке (если заключения договора с такими организациями предусмотрена требованиями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порядок распределения дохода эмитента между его участниками для эмитентов, созданных в организационной правовой форме товарищества с ограниченной ответственностью.</w:t>
      </w:r>
      <w:r>
        <w:br/>
      </w:r>
      <w:r>
        <w:rPr>
          <w:rFonts w:ascii="Times New Roman"/>
          <w:b w:val="false"/>
          <w:i w:val="false"/>
          <w:color w:val="000000"/>
          <w:sz w:val="28"/>
        </w:rPr>
        <w:t>
      Неотъемлемыми частями проспекта выпуска инфраструктурных облигаций, помимо вышеуказанных документов, являются копии концессионного договора и договора поручительства.</w:t>
      </w:r>
      <w:r>
        <w:br/>
      </w:r>
      <w:r>
        <w:rPr>
          <w:rFonts w:ascii="Times New Roman"/>
          <w:b w:val="false"/>
          <w:i w:val="false"/>
          <w:color w:val="000000"/>
          <w:sz w:val="28"/>
        </w:rPr>
        <w:t>
      Неотъемлемой частью проспекта выпуска облигаций специальной финансовой компании являются аудиторский отчет оригинатора за последний год, договор уступки прав требования по данной сделке секьюритизации, заключенный между оригинатором и специальной финансовой компанией.</w:t>
      </w:r>
      <w:r>
        <w:br/>
      </w:r>
      <w:r>
        <w:rPr>
          <w:rFonts w:ascii="Times New Roman"/>
          <w:b w:val="false"/>
          <w:i w:val="false"/>
          <w:color w:val="000000"/>
          <w:sz w:val="28"/>
        </w:rPr>
        <w:t>
      Сведения в проспекте выпуска облигаций (облигационной программы) приводятся на дату последнего дня месяца, предшествующего дате сдачи документов в уполномоченный орган, за исключением информации о финансовом состоянии эмитента (указываемой в главе 5 приложений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которая указывается согласно финансовой отчетности по состоянию на конец последнего квартала перед подачей документов для государственной регистрации выпуска облигаций (облигационной программы).</w:t>
      </w:r>
      <w:r>
        <w:br/>
      </w:r>
      <w:r>
        <w:rPr>
          <w:rFonts w:ascii="Times New Roman"/>
          <w:b w:val="false"/>
          <w:i w:val="false"/>
          <w:color w:val="000000"/>
          <w:sz w:val="28"/>
        </w:rPr>
        <w:t>
      В случае отсутствия аудированной финансовой отчетности за завершенный финансовый год в период с 1 января по 1 июня текущего года общество представляет в уполномоченный орган аудированную финансовую отчетность за два года, предшествующих последнему завершенному году (аудированная финансовая отчетность за завершенный финансовый год представляется обществом в течение месяца с даты утверждения аудированной годовой финансовой отчетности общим собранием акционеров) (в случае наличия дочерней (дочерних) организации (организаций) и наличия отдельной финансовой отчетности, подтвержденной аудиторским отчетом, представляется отдельная финансовая отчетность).</w:t>
      </w:r>
      <w:r>
        <w:br/>
      </w:r>
      <w:r>
        <w:rPr>
          <w:rFonts w:ascii="Times New Roman"/>
          <w:b w:val="false"/>
          <w:i w:val="false"/>
          <w:color w:val="000000"/>
          <w:sz w:val="28"/>
        </w:rPr>
        <w:t>
      1-1. Величина левереджа эмитента (за исключением банков, организаций, осуществляющих отдельные виды банковских операций) для государственной регистрации выпуска облигаций (облигационной программы) не превышает 2 (согласно данным последней финансовой отчетности, представляемой для государственной регистрации выпуска облигаций).</w:t>
      </w:r>
      <w:r>
        <w:br/>
      </w:r>
      <w:r>
        <w:rPr>
          <w:rFonts w:ascii="Times New Roman"/>
          <w:b w:val="false"/>
          <w:i w:val="false"/>
          <w:color w:val="000000"/>
          <w:sz w:val="28"/>
        </w:rPr>
        <w:t>
      1-2. Государственная регистрация выпуска агентских облигаций осуществляется в случае соблюдения эмитентом следующих условий:</w:t>
      </w:r>
      <w:r>
        <w:br/>
      </w:r>
      <w:r>
        <w:rPr>
          <w:rFonts w:ascii="Times New Roman"/>
          <w:b w:val="false"/>
          <w:i w:val="false"/>
          <w:color w:val="000000"/>
          <w:sz w:val="28"/>
        </w:rPr>
        <w:t>
      1) отсутствие на дату представления в уполномоченный орган документов для государственной регистрации выпуска облигаций случаев несвоевременного исполнения или неисполнения условий выпуска ценных бумаг (за исключением акций), находящихся в обращении (в том числе обязательств по выплате вознаграждения или погашению ценных бумаг);</w:t>
      </w:r>
      <w:r>
        <w:br/>
      </w:r>
      <w:r>
        <w:rPr>
          <w:rFonts w:ascii="Times New Roman"/>
          <w:b w:val="false"/>
          <w:i w:val="false"/>
          <w:color w:val="000000"/>
          <w:sz w:val="28"/>
        </w:rPr>
        <w:t>
      2) отсутствие на дату представления в уполномоченный орган документов для государственной регистрации выпуска облигаций случаев делистинга ценных бумаг (за исключением акций), находящихся в обращении;</w:t>
      </w:r>
      <w:r>
        <w:br/>
      </w:r>
      <w:r>
        <w:rPr>
          <w:rFonts w:ascii="Times New Roman"/>
          <w:b w:val="false"/>
          <w:i w:val="false"/>
          <w:color w:val="000000"/>
          <w:sz w:val="28"/>
        </w:rPr>
        <w:t>
      3) по итогам последнего квартала, предшествующего представлению в уполномоченный орган документов для государственной регистрации выпуска облигаций, величина левереджа эмитента не превышает 2.»;</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пункт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В случае реорганизации эмитента путем преобразования, проспект выпуска облигаций (облигационной программы) содержит сведения за период до двух лет до даты регистрации вновь возникшего в результате преобразования юридического лица, с приложением финансовой отчетности юридического лица, правопреемником которого является эмитент.»;</w:t>
      </w:r>
      <w:r>
        <w:br/>
      </w:r>
      <w:r>
        <w:rPr>
          <w:rFonts w:ascii="Times New Roman"/>
          <w:b w:val="false"/>
          <w:i w:val="false"/>
          <w:color w:val="000000"/>
          <w:sz w:val="28"/>
        </w:rPr>
        <w:t>
</w:t>
      </w:r>
      <w:r>
        <w:rPr>
          <w:rFonts w:ascii="Times New Roman"/>
          <w:b w:val="false"/>
          <w:i w:val="false"/>
          <w:color w:val="000000"/>
          <w:sz w:val="28"/>
        </w:rPr>
        <w:t>
      пункт </w:t>
      </w:r>
      <w:r>
        <w:rPr>
          <w:rFonts w:ascii="Times New Roman"/>
          <w:b w:val="false"/>
          <w:i w:val="false"/>
          <w:color w:val="000000"/>
          <w:sz w:val="28"/>
        </w:rPr>
        <w:t>2-1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Государственная регистрация выпуска облигаций эмитента-нерезидента Республики Казахстан, имеющего минимальный кредитный рейтинг не ниже «ВВВ-» по международной шкале агентства Standard &amp; Poor’s, либо рейтинг аналогичного уровня одного из других рейтинговых агентств (за исключением государственной регистрации выпуска облигаций, номинированных в иностранной валюте), осуществляется при условии выполнения всех следующих требований:</w:t>
      </w:r>
      <w:r>
        <w:br/>
      </w:r>
      <w:r>
        <w:rPr>
          <w:rFonts w:ascii="Times New Roman"/>
          <w:b w:val="false"/>
          <w:i w:val="false"/>
          <w:color w:val="000000"/>
          <w:sz w:val="28"/>
        </w:rPr>
        <w:t>
      1) наличие соглашения между уполномоченным органом Республики Казахстан по регулированию рынка ценных бумаг и соответствующим уполномоченным органом по регулированию рынка ценных бумаг иностранного государства (далее - уполномоченный орган нерезидента) об обмене информацией;</w:t>
      </w:r>
      <w:r>
        <w:br/>
      </w:r>
      <w:r>
        <w:rPr>
          <w:rFonts w:ascii="Times New Roman"/>
          <w:b w:val="false"/>
          <w:i w:val="false"/>
          <w:color w:val="000000"/>
          <w:sz w:val="28"/>
        </w:rPr>
        <w:t>
      2) выполнение эмитентом-нерезидентом Республики Казахстан требований для включения долговых ценных бумаг эмитента-нерезидента Республики Казахстан в сектор «долговые ценные бумаги» категории «долговые ценные бумаги с рейтинговой оценкой (наивысшая категория)» официального списка фондовой биржи и их нахождения в нем;</w:t>
      </w:r>
      <w:r>
        <w:br/>
      </w:r>
      <w:r>
        <w:rPr>
          <w:rFonts w:ascii="Times New Roman"/>
          <w:b w:val="false"/>
          <w:i w:val="false"/>
          <w:color w:val="000000"/>
          <w:sz w:val="28"/>
        </w:rPr>
        <w:t>
      3) наличие разрешения уполномоченного органа нерезидента на выпуск облигаций в соответствии с законодательством Республики Казахстан либо письмо уполномоченного органа нерезидента о том, что такое разрешение по законодательству страны эмитента-нерезидента Республики Казахстан не требуется (если эмитент-нерезидент Республики Казахстан является финансовой организацией);</w:t>
      </w:r>
      <w:r>
        <w:br/>
      </w:r>
      <w:r>
        <w:rPr>
          <w:rFonts w:ascii="Times New Roman"/>
          <w:b w:val="false"/>
          <w:i w:val="false"/>
          <w:color w:val="000000"/>
          <w:sz w:val="28"/>
        </w:rPr>
        <w:t>
      4) письмо уполномоченного органа нерезидента о соблюдении эмитентом-нерезидентом Республики Казахстан пруденциальных нормативов и иных установленных уполномоченным органом нерезидента норм и лимитов в период за три месяца до даты подачи заявления на государственную регистрацию облигаций (если эмитент-нерезидент Республики Казахстан является финансовой организацией).</w:t>
      </w:r>
      <w:r>
        <w:br/>
      </w:r>
      <w:r>
        <w:rPr>
          <w:rFonts w:ascii="Times New Roman"/>
          <w:b w:val="false"/>
          <w:i w:val="false"/>
          <w:color w:val="000000"/>
          <w:sz w:val="28"/>
        </w:rPr>
        <w:t>
      Для государственной регистрации выпуска облигаций эмитент-нерезидент Республики Казахстан, указанный в настоящем пункте, представляет:</w:t>
      </w:r>
      <w:r>
        <w:br/>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2) копию решения органа эмитента о выпуске облигаций с нотариально удостоверенным переводом на государственный и русский язык, содержащего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w:t>
      </w:r>
      <w:r>
        <w:br/>
      </w:r>
      <w:r>
        <w:rPr>
          <w:rFonts w:ascii="Times New Roman"/>
          <w:b w:val="false"/>
          <w:i w:val="false"/>
          <w:color w:val="000000"/>
          <w:sz w:val="28"/>
        </w:rPr>
        <w:t>
      3) проспект выпуска облигаций в двух экземплярах на бумажном носителе (на государственном и русском языках), составленный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и на электронном носителе в формате Acrobat Reader (электронный вариант проспекта представляется на государственном и русском языках без финансовой отчетности эмитента). Каждый из двух экземпляров содержит проспект выпуска облигаций на государственном и русском языках;</w:t>
      </w:r>
      <w:r>
        <w:br/>
      </w:r>
      <w:r>
        <w:rPr>
          <w:rFonts w:ascii="Times New Roman"/>
          <w:b w:val="false"/>
          <w:i w:val="false"/>
          <w:color w:val="000000"/>
          <w:sz w:val="28"/>
        </w:rPr>
        <w:t>
      4) копию устава с нотариально удостоверенным переводом на государственный и русский язык и копию документа, подтверждающего регистрацию эмитента в качестве юридического лица в соответствии с законодательством государства его местонахождения, с нотариально удостоверенным переводом на государственный и русский язык;</w:t>
      </w:r>
      <w:r>
        <w:br/>
      </w:r>
      <w:r>
        <w:rPr>
          <w:rFonts w:ascii="Times New Roman"/>
          <w:b w:val="false"/>
          <w:i w:val="false"/>
          <w:color w:val="000000"/>
          <w:sz w:val="28"/>
        </w:rPr>
        <w:t>
      5) документы, подтверждающие наличие обеспечения исполнения обязательств эмитента, при выпуске обеспеченных облигаций;</w:t>
      </w:r>
      <w:r>
        <w:br/>
      </w:r>
      <w:r>
        <w:rPr>
          <w:rFonts w:ascii="Times New Roman"/>
          <w:b w:val="false"/>
          <w:i w:val="false"/>
          <w:color w:val="000000"/>
          <w:sz w:val="28"/>
        </w:rPr>
        <w:t>
      6) копию договора с представителем держателей облигаций;</w:t>
      </w:r>
      <w:r>
        <w:br/>
      </w:r>
      <w:r>
        <w:rPr>
          <w:rFonts w:ascii="Times New Roman"/>
          <w:b w:val="false"/>
          <w:i w:val="false"/>
          <w:color w:val="000000"/>
          <w:sz w:val="28"/>
        </w:rPr>
        <w:t>
      7) если проспектом выпуска облигаций эмитента предусматривается обращение данных облигаций в торговой системе фондовой биржи, заключение фондовой биржи о соответствии эмитента и выпускаемых им облигаций требованиям к включению и нахождению облигаций эмитента в секторе «долговые ценные бумаги» категории «долговые ценные бумаги с рейтинговой оценкой (наивысшая категория)» списка фондовой биржи, а также рекомендации листинговой комиссии фондовой биржи по включению в проспект выпуска ценных бумаг эмитента дополнительных ограничений, необходимых для обеспечения защиты прав и интересов инвесторов.»;</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Государственная регистрация выпуска эмитентом-нерезидентом Республики Казахстан или международными финансовыми организациями, указанными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облигаций, номинированных в иностранной валюте, осуществляется в соответствии с требованиями, установленными подпунктами 1), 2, 3) и 4) </w:t>
      </w:r>
      <w:r>
        <w:rPr>
          <w:rFonts w:ascii="Times New Roman"/>
          <w:b w:val="false"/>
          <w:i w:val="false"/>
          <w:color w:val="000000"/>
          <w:sz w:val="28"/>
        </w:rPr>
        <w:t>пункта 3</w:t>
      </w:r>
      <w:r>
        <w:rPr>
          <w:rFonts w:ascii="Times New Roman"/>
          <w:b w:val="false"/>
          <w:i w:val="false"/>
          <w:color w:val="000000"/>
          <w:sz w:val="28"/>
        </w:rPr>
        <w:t xml:space="preserve"> настоящих Правил, а также в случае соблюдения эмитентом следующих условий:</w:t>
      </w:r>
      <w:r>
        <w:br/>
      </w:r>
      <w:r>
        <w:rPr>
          <w:rFonts w:ascii="Times New Roman"/>
          <w:b w:val="false"/>
          <w:i w:val="false"/>
          <w:color w:val="000000"/>
          <w:sz w:val="28"/>
        </w:rPr>
        <w:t>
      1) наличие у эмитента-нерезидента Республики Казахстан или международных финансовых организаций, указанных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минимального кредитного рейтинга не ниже «BBВ-» по международной шкале агентства Standard &amp; Poor’s либо рейтинга аналогичного уровня одного из других рейтинговых агентств;</w:t>
      </w:r>
      <w:r>
        <w:br/>
      </w:r>
      <w:r>
        <w:rPr>
          <w:rFonts w:ascii="Times New Roman"/>
          <w:b w:val="false"/>
          <w:i w:val="false"/>
          <w:color w:val="000000"/>
          <w:sz w:val="28"/>
        </w:rPr>
        <w:t>
      2) проспект выпуска облигаций эмитента-нерезидента Республики Казахстан или международных финансовых организаций, указанных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содержит обязательное условие о том, что выплата вознаграждения и основного долга по данным облигациям будет осуществляться в валюте выпуска.»;</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Лица, осуществляющие конвертирование облигаций в простые акции общества, соответствуют требованиям, предусмотренным </w:t>
      </w:r>
      <w:r>
        <w:rPr>
          <w:rFonts w:ascii="Times New Roman"/>
          <w:b w:val="false"/>
          <w:i w:val="false"/>
          <w:color w:val="000000"/>
          <w:sz w:val="28"/>
        </w:rPr>
        <w:t>пунктом 5</w:t>
      </w:r>
      <w:r>
        <w:rPr>
          <w:rFonts w:ascii="Times New Roman"/>
          <w:b w:val="false"/>
          <w:i w:val="false"/>
          <w:color w:val="000000"/>
          <w:sz w:val="28"/>
        </w:rPr>
        <w:t xml:space="preserve"> статьи 17 Закона Республики Казахстан от 31 августа 1995 года «О банках и банковской деятельности в Республике Казахстан» (далее – Закон о банках), </w:t>
      </w:r>
      <w:r>
        <w:rPr>
          <w:rFonts w:ascii="Times New Roman"/>
          <w:b w:val="false"/>
          <w:i w:val="false"/>
          <w:color w:val="000000"/>
          <w:sz w:val="28"/>
        </w:rPr>
        <w:t>пунктом 1-1</w:t>
      </w:r>
      <w:r>
        <w:rPr>
          <w:rFonts w:ascii="Times New Roman"/>
          <w:b w:val="false"/>
          <w:i w:val="false"/>
          <w:color w:val="000000"/>
          <w:sz w:val="28"/>
        </w:rPr>
        <w:t xml:space="preserve"> статьи 36 Закона Республики Казахстан от 20 июня 1997 года «О пенсионном обеспечении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21 Закона Республики Казахстан от 18 декабря 2000 года «О страховой деятельности», </w:t>
      </w:r>
      <w:r>
        <w:rPr>
          <w:rFonts w:ascii="Times New Roman"/>
          <w:b w:val="false"/>
          <w:i w:val="false"/>
          <w:color w:val="000000"/>
          <w:sz w:val="28"/>
        </w:rPr>
        <w:t>пунктом 2</w:t>
      </w:r>
      <w:r>
        <w:rPr>
          <w:rFonts w:ascii="Times New Roman"/>
          <w:b w:val="false"/>
          <w:i w:val="false"/>
          <w:color w:val="000000"/>
          <w:sz w:val="28"/>
        </w:rPr>
        <w:t xml:space="preserve"> статьи 47 Закона.»;</w:t>
      </w:r>
      <w:r>
        <w:br/>
      </w:r>
      <w:r>
        <w:rPr>
          <w:rFonts w:ascii="Times New Roman"/>
          <w:b w:val="false"/>
          <w:i w:val="false"/>
          <w:color w:val="000000"/>
          <w:sz w:val="28"/>
        </w:rPr>
        <w:t>
</w:t>
      </w:r>
      <w:r>
        <w:rPr>
          <w:rFonts w:ascii="Times New Roman"/>
          <w:b w:val="false"/>
          <w:i w:val="false"/>
          <w:color w:val="000000"/>
          <w:sz w:val="28"/>
        </w:rPr>
        <w:t>
      заголовки глав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Внесение изменений и дополнений в проспект выпуска облигаций (облигационной программы)»;</w:t>
      </w:r>
      <w:r>
        <w:br/>
      </w:r>
      <w:r>
        <w:rPr>
          <w:rFonts w:ascii="Times New Roman"/>
          <w:b w:val="false"/>
          <w:i w:val="false"/>
          <w:color w:val="000000"/>
          <w:sz w:val="28"/>
        </w:rPr>
        <w:t>
      «2. Государственная регистрация выпуска облигаций со сроком обращения не более двенадцати месяцев»;</w:t>
      </w:r>
      <w:r>
        <w:br/>
      </w:r>
      <w:r>
        <w:rPr>
          <w:rFonts w:ascii="Times New Roman"/>
          <w:b w:val="false"/>
          <w:i w:val="false"/>
          <w:color w:val="000000"/>
          <w:sz w:val="28"/>
        </w:rPr>
        <w:t>
      «3. Рассмотрение отчетов об итогах размещения и погашения облигаций»;</w:t>
      </w:r>
      <w:r>
        <w:br/>
      </w:r>
      <w:r>
        <w:rPr>
          <w:rFonts w:ascii="Times New Roman"/>
          <w:b w:val="false"/>
          <w:i w:val="false"/>
          <w:color w:val="000000"/>
          <w:sz w:val="28"/>
        </w:rPr>
        <w:t>
      «3-1. Аннулирование выпуска облигаций»;</w:t>
      </w:r>
      <w:r>
        <w:br/>
      </w:r>
      <w:r>
        <w:rPr>
          <w:rFonts w:ascii="Times New Roman"/>
          <w:b w:val="false"/>
          <w:i w:val="false"/>
          <w:color w:val="000000"/>
          <w:sz w:val="28"/>
        </w:rPr>
        <w:t>
      «4. Дополнительные положения»;</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Минимальный кредитный рейтинг эмитента для государственной регистрации выпуска облигаций при наличии в обращении облигаций предыдущих выпусков - не ниже «В» по международной шкале агентства Standard &amp; Poor's или рейтинговой оценки аналогичного уровня одного из других рейтинговых агентств.</w:t>
      </w:r>
      <w:r>
        <w:br/>
      </w:r>
      <w:r>
        <w:rPr>
          <w:rFonts w:ascii="Times New Roman"/>
          <w:b w:val="false"/>
          <w:i w:val="false"/>
          <w:color w:val="000000"/>
          <w:sz w:val="28"/>
        </w:rPr>
        <w:t>
      13-1. Минимальный кредитный рейтинг банка для государственной регистрации выпуска облигаций при наличии в обращении облигаций предыдущих выпусков - не ниже «В-» по международной шкале агентства Standard &amp; Poor's или рейтинговой оценки аналогичного уровня одного из других рейтинговых агентств.</w:t>
      </w:r>
      <w:r>
        <w:br/>
      </w:r>
      <w:r>
        <w:rPr>
          <w:rFonts w:ascii="Times New Roman"/>
          <w:b w:val="false"/>
          <w:i w:val="false"/>
          <w:color w:val="000000"/>
          <w:sz w:val="28"/>
        </w:rPr>
        <w:t>
      14. Банк или организация, осуществляющая отдельные виды банковских операций, осуществляют выпуск облигаций при обращении ранее выпущенных ими облигаций на вторичном рынке ценных бумаг и при соблюдении следующих условий:</w:t>
      </w:r>
      <w:r>
        <w:br/>
      </w:r>
      <w:r>
        <w:rPr>
          <w:rFonts w:ascii="Times New Roman"/>
          <w:b w:val="false"/>
          <w:i w:val="false"/>
          <w:color w:val="000000"/>
          <w:sz w:val="28"/>
        </w:rPr>
        <w:t>
      1) отсутствие несвоевременно исполненных и неисполненных обязательств по выплате вознаграждения по облигациям, находящимся в обращении на вторичном рынке ценных бумаг;</w:t>
      </w:r>
      <w:r>
        <w:br/>
      </w:r>
      <w:r>
        <w:rPr>
          <w:rFonts w:ascii="Times New Roman"/>
          <w:b w:val="false"/>
          <w:i w:val="false"/>
          <w:color w:val="000000"/>
          <w:sz w:val="28"/>
        </w:rPr>
        <w:t>
      2) безубыточная деятельность эмитента по итогам одного из последних двух завершенных финансовых года до даты подачи документов для государственной регистрации выпуска облигаций или чистые потоки денежных средств, полученные от деятельности эмитента, за один из двух последних завершенных финансовых года, согласно его финансовой отчетности, подтвержденной аудиторским отчетом, являются положительными;</w:t>
      </w:r>
      <w:r>
        <w:br/>
      </w:r>
      <w:r>
        <w:rPr>
          <w:rFonts w:ascii="Times New Roman"/>
          <w:b w:val="false"/>
          <w:i w:val="false"/>
          <w:color w:val="000000"/>
          <w:sz w:val="28"/>
        </w:rPr>
        <w:t>
      3) отсутствие фактов несоблюдения пруденциальных нормативов и иных установленных Национальным Банком Республики Казахстан норм и лимитов на дату подачи документов на государственную регистрацию выпуска облигаций, а также в период за три месяца до даты подачи документов;</w:t>
      </w:r>
      <w:r>
        <w:br/>
      </w:r>
      <w:r>
        <w:rPr>
          <w:rFonts w:ascii="Times New Roman"/>
          <w:b w:val="false"/>
          <w:i w:val="false"/>
          <w:color w:val="000000"/>
          <w:sz w:val="28"/>
        </w:rPr>
        <w:t>
      4) соответствие облигации данного выпуска и эмитента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и организатором торгов в отношении эмитентов и их ценных бумаг, допускаемых (допущенных) к обращению на фондовой бирже, а также к отдельным категориям списка фондовой биржи (в случае, если эмитент и облигации данного выпуска предполагаются для включения в официальный список фондовой биржи).</w:t>
      </w:r>
      <w:r>
        <w:br/>
      </w:r>
      <w:r>
        <w:rPr>
          <w:rFonts w:ascii="Times New Roman"/>
          <w:b w:val="false"/>
          <w:i w:val="false"/>
          <w:color w:val="000000"/>
          <w:sz w:val="28"/>
        </w:rPr>
        <w:t>
      Банк или организация, осуществляющая отдельные виды банковских операций, осуществляют выпуск облигаций при соблюдении условий, установленных частью первой настоящего пункта, а также при соблюдении одного из следующих условий:</w:t>
      </w:r>
      <w:r>
        <w:br/>
      </w:r>
      <w:r>
        <w:rPr>
          <w:rFonts w:ascii="Times New Roman"/>
          <w:b w:val="false"/>
          <w:i w:val="false"/>
          <w:color w:val="000000"/>
          <w:sz w:val="28"/>
        </w:rPr>
        <w:t>
      вновь выпускаемые облигации являются ипотечными облигациями;</w:t>
      </w:r>
      <w:r>
        <w:br/>
      </w:r>
      <w:r>
        <w:rPr>
          <w:rFonts w:ascii="Times New Roman"/>
          <w:b w:val="false"/>
          <w:i w:val="false"/>
          <w:color w:val="000000"/>
          <w:sz w:val="28"/>
        </w:rPr>
        <w:t>
      на дату представления в уполномоченный орган документов для государственной регистрации выпуска облигаций организация, осуществляющая отдельные виды банковских операций, имеет минимальный кредитный рейтинг, установленный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r>
        <w:br/>
      </w:r>
      <w:r>
        <w:rPr>
          <w:rFonts w:ascii="Times New Roman"/>
          <w:b w:val="false"/>
          <w:i w:val="false"/>
          <w:color w:val="000000"/>
          <w:sz w:val="28"/>
        </w:rPr>
        <w:t>
      на дату представления в уполномоченный орган документов для государственной регистрации выпуска облигаций банк имеет минимальный кредитный рейтинг, установленный </w:t>
      </w:r>
      <w:r>
        <w:rPr>
          <w:rFonts w:ascii="Times New Roman"/>
          <w:b w:val="false"/>
          <w:i w:val="false"/>
          <w:color w:val="000000"/>
          <w:sz w:val="28"/>
        </w:rPr>
        <w:t>пунктом 13-1</w:t>
      </w:r>
      <w:r>
        <w:rPr>
          <w:rFonts w:ascii="Times New Roman"/>
          <w:b w:val="false"/>
          <w:i w:val="false"/>
          <w:color w:val="000000"/>
          <w:sz w:val="28"/>
        </w:rPr>
        <w:t xml:space="preserve"> настоящих Правил.</w:t>
      </w:r>
      <w:r>
        <w:br/>
      </w:r>
      <w:r>
        <w:rPr>
          <w:rFonts w:ascii="Times New Roman"/>
          <w:b w:val="false"/>
          <w:i w:val="false"/>
          <w:color w:val="000000"/>
          <w:sz w:val="28"/>
        </w:rPr>
        <w:t>
      Требования настоящего пункта не распространяются на случаи проведения банком реструктуризации обязательств по ранее выпущенным облигациям, проводимой в соответствии с решением суда о проведении реструктуризации банка.</w:t>
      </w:r>
      <w:r>
        <w:br/>
      </w:r>
      <w:r>
        <w:rPr>
          <w:rFonts w:ascii="Times New Roman"/>
          <w:b w:val="false"/>
          <w:i w:val="false"/>
          <w:color w:val="000000"/>
          <w:sz w:val="28"/>
        </w:rPr>
        <w:t>
      Требования подпункта 3) части первой настоящего пункта не распространяются на выпуск облигаций банка в виде субординированных облигаций, конвертируемых в акции.</w:t>
      </w:r>
      <w:r>
        <w:br/>
      </w:r>
      <w:r>
        <w:rPr>
          <w:rFonts w:ascii="Times New Roman"/>
          <w:b w:val="false"/>
          <w:i w:val="false"/>
          <w:color w:val="000000"/>
          <w:sz w:val="28"/>
        </w:rPr>
        <w:t>
      14-1. Если эмитент не имеет минимального кредитного рейтинга, установленного </w:t>
      </w:r>
      <w:r>
        <w:rPr>
          <w:rFonts w:ascii="Times New Roman"/>
          <w:b w:val="false"/>
          <w:i w:val="false"/>
          <w:color w:val="000000"/>
          <w:sz w:val="28"/>
        </w:rPr>
        <w:t>пунктом 13</w:t>
      </w:r>
      <w:r>
        <w:rPr>
          <w:rFonts w:ascii="Times New Roman"/>
          <w:b w:val="false"/>
          <w:i w:val="false"/>
          <w:color w:val="000000"/>
          <w:sz w:val="28"/>
        </w:rPr>
        <w:t xml:space="preserve"> настоящих Правил (за исключением эмитентов ипотечных облигаций, а также эмитентов,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им для государственной регистрации выпуска облигаций при обращении ранее выпущенных эмитентом облигаций на вторичном рынке ценных бумаг представляется расчет величины левереджа по итогам последнего квартала, предшествующего представлению в уполномоченный орган документов для государственной регистрации выпуска облигаций.»;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«14-3. В случаях проведения банком реструктуризации в соответствии с решением суда о проведении реструктуризации для государственной регистрации последующего выпуска облигаций, облигационной программы эмитентом представляются следующие документы:</w:t>
      </w:r>
      <w:r>
        <w:br/>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2) копия устава;</w:t>
      </w:r>
      <w:r>
        <w:br/>
      </w:r>
      <w:r>
        <w:rPr>
          <w:rFonts w:ascii="Times New Roman"/>
          <w:b w:val="false"/>
          <w:i w:val="false"/>
          <w:color w:val="000000"/>
          <w:sz w:val="28"/>
        </w:rPr>
        <w:t>
      3) копия свидетельства о государственной регистрации (перерегистрации) юридического лица;</w:t>
      </w:r>
      <w:r>
        <w:br/>
      </w:r>
      <w:r>
        <w:rPr>
          <w:rFonts w:ascii="Times New Roman"/>
          <w:b w:val="false"/>
          <w:i w:val="false"/>
          <w:color w:val="000000"/>
          <w:sz w:val="28"/>
        </w:rPr>
        <w:t>
      4) копия договора с представителем держателей облигаций;</w:t>
      </w:r>
      <w:r>
        <w:br/>
      </w:r>
      <w:r>
        <w:rPr>
          <w:rFonts w:ascii="Times New Roman"/>
          <w:b w:val="false"/>
          <w:i w:val="false"/>
          <w:color w:val="000000"/>
          <w:sz w:val="28"/>
        </w:rPr>
        <w:t>
      5) копия решения суда о проведении реструктуризации эмитента с приложением копии плана реструктуризации, утвержденного судом;</w:t>
      </w:r>
      <w:r>
        <w:br/>
      </w:r>
      <w:r>
        <w:rPr>
          <w:rFonts w:ascii="Times New Roman"/>
          <w:b w:val="false"/>
          <w:i w:val="false"/>
          <w:color w:val="000000"/>
          <w:sz w:val="28"/>
        </w:rPr>
        <w:t>
      6) проспект выпуска облигаций (облигационной программы) в двух экземплярах на бумажном носителе (на государственном и русском языках), составленный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или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и в одном экземпляре на государственном и русском языках на электронном носителе (без финансовой отчетности общества) в формате Acrobat Reader. Каждый из двух экземпляров содержит проспект выпуска облигаций (облигационной программы) на государственном и русском языках;</w:t>
      </w:r>
      <w:r>
        <w:br/>
      </w:r>
      <w:r>
        <w:rPr>
          <w:rFonts w:ascii="Times New Roman"/>
          <w:b w:val="false"/>
          <w:i w:val="false"/>
          <w:color w:val="000000"/>
          <w:sz w:val="28"/>
        </w:rPr>
        <w:t>
      7) копия страницы периодического печатного издания, подтверждающей выполнение требования, указанного в </w:t>
      </w:r>
      <w:r>
        <w:rPr>
          <w:rFonts w:ascii="Times New Roman"/>
          <w:b w:val="false"/>
          <w:i w:val="false"/>
          <w:color w:val="000000"/>
          <w:sz w:val="28"/>
        </w:rPr>
        <w:t>пункте 6</w:t>
      </w:r>
      <w:r>
        <w:rPr>
          <w:rFonts w:ascii="Times New Roman"/>
          <w:b w:val="false"/>
          <w:i w:val="false"/>
          <w:color w:val="000000"/>
          <w:sz w:val="28"/>
        </w:rPr>
        <w:t xml:space="preserve"> статьи 59-3 Закона о банках.</w:t>
      </w:r>
      <w:r>
        <w:br/>
      </w:r>
      <w:r>
        <w:rPr>
          <w:rFonts w:ascii="Times New Roman"/>
          <w:b w:val="false"/>
          <w:i w:val="false"/>
          <w:color w:val="000000"/>
          <w:sz w:val="28"/>
        </w:rPr>
        <w:t>
      Для государственной регистрации выпуска облигаций в пределах облигационной программы эмитентом представляются документы, предусмотренные подпунктами 1), 4) 5), 6) и 7) настоящего пункта.»;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«16-3. Эмитент в течение трех календарных дней с даты неисполнения либо ненадлежащего исполнения обязательств по облигациям и ежеквартально в срок не позднее 10 (десятого) числа месяца, следующего за отчетным кварталом, представляет в уполномоченный орган в течение периода неисполнения либо ненадлежащего исполнения обязательств по облигациям информацию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Регистрационный номер налогоплательщика или бизнес-идентификационный номер.»;</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«7-1. Если эмитент является финансовым агентством, указываются следующие сведения:</w:t>
      </w:r>
      <w:r>
        <w:br/>
      </w:r>
      <w:r>
        <w:rPr>
          <w:rFonts w:ascii="Times New Roman"/>
          <w:b w:val="false"/>
          <w:i w:val="false"/>
          <w:color w:val="000000"/>
          <w:sz w:val="28"/>
        </w:rPr>
        <w:t>
      1) документ, в соответствии с которым эмитент уполномочен на реализацию государственной инвестиционной политики в определенных сферах экономики в качестве финансового агентства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w:t>
      </w:r>
      <w:r>
        <w:br/>
      </w:r>
      <w:r>
        <w:rPr>
          <w:rFonts w:ascii="Times New Roman"/>
          <w:b w:val="false"/>
          <w:i w:val="false"/>
          <w:color w:val="000000"/>
          <w:sz w:val="28"/>
        </w:rPr>
        <w:t>
      2) дата присвоения статуса финансового агентства (при наличии).</w:t>
      </w:r>
      <w:r>
        <w:br/>
      </w:r>
      <w:r>
        <w:rPr>
          <w:rFonts w:ascii="Times New Roman"/>
          <w:b w:val="false"/>
          <w:i w:val="false"/>
          <w:color w:val="000000"/>
          <w:sz w:val="28"/>
        </w:rPr>
        <w:t>
      8. Сведения о наличии рейтингов, присвоенных эмитенту или выпущенным им ценным бумагам международными рейтинговыми агентствами и (или) рейтинговыми агентствами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Исполнительный орган эмитента.</w:t>
      </w:r>
      <w:r>
        <w:br/>
      </w:r>
      <w:r>
        <w:rPr>
          <w:rFonts w:ascii="Times New Roman"/>
          <w:b w:val="false"/>
          <w:i w:val="false"/>
          <w:color w:val="000000"/>
          <w:sz w:val="28"/>
        </w:rPr>
        <w:t>
      В данном пункте указываются:</w:t>
      </w:r>
      <w:r>
        <w:br/>
      </w:r>
      <w:r>
        <w:rPr>
          <w:rFonts w:ascii="Times New Roman"/>
          <w:b w:val="false"/>
          <w:i w:val="false"/>
          <w:color w:val="000000"/>
          <w:sz w:val="28"/>
        </w:rPr>
        <w:t>
      1) фамилия, имя, при наличии - отчество и год рождения лица, осуществляющего функции единоличного исполнительного органа эмитента, либо фамилия, имя, при наличии - отчество и год рождения каждого из членов коллегиального исполнительного органа эмитента;</w:t>
      </w:r>
      <w:r>
        <w:br/>
      </w:r>
      <w:r>
        <w:rPr>
          <w:rFonts w:ascii="Times New Roman"/>
          <w:b w:val="false"/>
          <w:i w:val="false"/>
          <w:color w:val="000000"/>
          <w:sz w:val="28"/>
        </w:rPr>
        <w:t>
      2) должности, занимаемые лицом, осуществляющим функции единоличного исполнительного органа эмитента, либо каждым из членов коллегиального исполнительного органа эмитента, за последние три года и в настоящее время, в хронологическом порядке, в том числе по совместительству, даты вступления их в должности и полномочия;</w:t>
      </w:r>
      <w:r>
        <w:br/>
      </w:r>
      <w:r>
        <w:rPr>
          <w:rFonts w:ascii="Times New Roman"/>
          <w:b w:val="false"/>
          <w:i w:val="false"/>
          <w:color w:val="000000"/>
          <w:sz w:val="28"/>
        </w:rPr>
        <w:t>
      3) участие лица, осуществляющего функции единоличного исполнительного органа эмитента, либо каждого из членов коллегиального исполнительного органа эмитента в оплаченном уставном капитале эмитента и организациях, с указанием долей участия.»;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 редакции:</w:t>
      </w:r>
      <w:r>
        <w:br/>
      </w:r>
      <w:r>
        <w:rPr>
          <w:rFonts w:ascii="Times New Roman"/>
          <w:b w:val="false"/>
          <w:i w:val="false"/>
          <w:color w:val="000000"/>
          <w:sz w:val="28"/>
        </w:rPr>
        <w:t>
      «18. Акционеры (участники) эмитента.</w:t>
      </w:r>
      <w:r>
        <w:br/>
      </w:r>
      <w:r>
        <w:rPr>
          <w:rFonts w:ascii="Times New Roman"/>
          <w:b w:val="false"/>
          <w:i w:val="false"/>
          <w:color w:val="000000"/>
          <w:sz w:val="28"/>
        </w:rPr>
        <w:t>
      В данном пункте указываются:</w:t>
      </w:r>
      <w:r>
        <w:br/>
      </w:r>
      <w:r>
        <w:rPr>
          <w:rFonts w:ascii="Times New Roman"/>
          <w:b w:val="false"/>
          <w:i w:val="false"/>
          <w:color w:val="000000"/>
          <w:sz w:val="28"/>
        </w:rPr>
        <w:t>
      1) общее количество акционеров (участников) эмитента (если акционером (участником) эмитента является юридическое лицо, указываются крупные акционеры либо участники, которые владеют десятью и более процентами долей участия в уставном капитале данного юридического лица) и информация (полное и сокращенное наименование, место нахождения юридического лица либо фамилия, имя, при наличии - отчество физического лица) об акционерах (участниках), которые владеют десятью и более процентами долей (размещенных и голосующих акций) эмитента;</w:t>
      </w:r>
      <w:r>
        <w:br/>
      </w:r>
      <w:r>
        <w:rPr>
          <w:rFonts w:ascii="Times New Roman"/>
          <w:b w:val="false"/>
          <w:i w:val="false"/>
          <w:color w:val="000000"/>
          <w:sz w:val="28"/>
        </w:rPr>
        <w:t>
      2) сведения о лицах, не являющихся акционерами (участниками) эмитента, но обладающие правом контролировать деятельность эмитента через другие организации.</w:t>
      </w:r>
      <w:r>
        <w:br/>
      </w:r>
      <w:r>
        <w:rPr>
          <w:rFonts w:ascii="Times New Roman"/>
          <w:b w:val="false"/>
          <w:i w:val="false"/>
          <w:color w:val="000000"/>
          <w:sz w:val="28"/>
        </w:rPr>
        <w:t>
      Если эмитентом является банк, в данном пункте, помимо перечисленной в подпунктах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настоящего пункта информации, указывается информация об акционерах, владеющих прямо или косвенно десятью и более процентами размещенных акций банка или имеющих возможность голосовать прямо или косвенно десятью и более процентами голосующих акций банка либо оказывать влияние на принимаемые банком решения в силу договора или иным образом.»;</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Описание деятельности эмитента (если эмитент входит в состав группы согласно международному стандарту финансовой отчетности IAS 27, то данный раздел заполняется как на основании консолидированной финансовой отчетности всей группы, так и на основании финансовой отчетности самого эмитента)»;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«38. Сведения об облигациях:</w:t>
      </w:r>
      <w:r>
        <w:br/>
      </w:r>
      <w:r>
        <w:rPr>
          <w:rFonts w:ascii="Times New Roman"/>
          <w:b w:val="false"/>
          <w:i w:val="false"/>
          <w:color w:val="000000"/>
          <w:sz w:val="28"/>
        </w:rPr>
        <w:t>
      1) вид облигаций (купонные или дисконтные, инфраструктурные или выпускаемые специальной финансовой компанией), наличие обеспечения (с обеспечением или без обеспечения, в том числе субординированные), характер расчета номинальной стоимости или размера вознаграждения (индексированные);</w:t>
      </w:r>
      <w:r>
        <w:br/>
      </w:r>
      <w:r>
        <w:rPr>
          <w:rFonts w:ascii="Times New Roman"/>
          <w:b w:val="false"/>
          <w:i w:val="false"/>
          <w:color w:val="000000"/>
          <w:sz w:val="28"/>
        </w:rPr>
        <w:t>
      2) количество выпускаемых облигаций и общий объем выпуска облигаций (указать общий объем выпуска облигаций по номинальной стоимости);</w:t>
      </w:r>
      <w:r>
        <w:br/>
      </w:r>
      <w:r>
        <w:rPr>
          <w:rFonts w:ascii="Times New Roman"/>
          <w:b w:val="false"/>
          <w:i w:val="false"/>
          <w:color w:val="000000"/>
          <w:sz w:val="28"/>
        </w:rPr>
        <w:t>
      3) номинальная стоимость одной облигации;</w:t>
      </w:r>
      <w:r>
        <w:br/>
      </w:r>
      <w:r>
        <w:rPr>
          <w:rFonts w:ascii="Times New Roman"/>
          <w:b w:val="false"/>
          <w:i w:val="false"/>
          <w:color w:val="000000"/>
          <w:sz w:val="28"/>
        </w:rPr>
        <w:t>
      4) дата начала размещения и дата начала обращения облигаций;</w:t>
      </w:r>
      <w:r>
        <w:br/>
      </w:r>
      <w:r>
        <w:rPr>
          <w:rFonts w:ascii="Times New Roman"/>
          <w:b w:val="false"/>
          <w:i w:val="false"/>
          <w:color w:val="000000"/>
          <w:sz w:val="28"/>
        </w:rPr>
        <w:t>
      5) вознаграждение по облигациям с указанием:</w:t>
      </w:r>
      <w:r>
        <w:br/>
      </w:r>
      <w:r>
        <w:rPr>
          <w:rFonts w:ascii="Times New Roman"/>
          <w:b w:val="false"/>
          <w:i w:val="false"/>
          <w:color w:val="000000"/>
          <w:sz w:val="28"/>
        </w:rPr>
        <w:t>
      ставки вознаграждения по облигациям;</w:t>
      </w:r>
      <w:r>
        <w:br/>
      </w:r>
      <w:r>
        <w:rPr>
          <w:rFonts w:ascii="Times New Roman"/>
          <w:b w:val="false"/>
          <w:i w:val="false"/>
          <w:color w:val="000000"/>
          <w:sz w:val="28"/>
        </w:rPr>
        <w:t>
      даты, с которой начинается начисление вознаграждения, периодичности и даты выплаты вознаграждения, порядка и условий его выплаты (если инвестором будет являться нерезидент Республики Казахстан, указывается валюта выплаты и курс конвертации);</w:t>
      </w:r>
      <w:r>
        <w:br/>
      </w:r>
      <w:r>
        <w:rPr>
          <w:rFonts w:ascii="Times New Roman"/>
          <w:b w:val="false"/>
          <w:i w:val="false"/>
          <w:color w:val="000000"/>
          <w:sz w:val="28"/>
        </w:rPr>
        <w:t>
      периода времени, применяемого для расчета вознаграждения;</w:t>
      </w:r>
      <w:r>
        <w:br/>
      </w:r>
      <w:r>
        <w:rPr>
          <w:rFonts w:ascii="Times New Roman"/>
          <w:b w:val="false"/>
          <w:i w:val="false"/>
          <w:color w:val="000000"/>
          <w:sz w:val="28"/>
        </w:rPr>
        <w:t>
      порядка расчетов при выпуске индексированных облигаций.</w:t>
      </w:r>
      <w:r>
        <w:br/>
      </w:r>
      <w:r>
        <w:rPr>
          <w:rFonts w:ascii="Times New Roman"/>
          <w:b w:val="false"/>
          <w:i w:val="false"/>
          <w:color w:val="000000"/>
          <w:sz w:val="28"/>
        </w:rPr>
        <w:t>
      Если ставка вознаграждения не является фиксированной, указывается порядок определения ее размера;</w:t>
      </w:r>
      <w:r>
        <w:br/>
      </w:r>
      <w:r>
        <w:rPr>
          <w:rFonts w:ascii="Times New Roman"/>
          <w:b w:val="false"/>
          <w:i w:val="false"/>
          <w:color w:val="000000"/>
          <w:sz w:val="28"/>
        </w:rPr>
        <w:t>
      6) сведения об обращении и погашении облигаций с указанием:</w:t>
      </w:r>
      <w:r>
        <w:br/>
      </w:r>
      <w:r>
        <w:rPr>
          <w:rFonts w:ascii="Times New Roman"/>
          <w:b w:val="false"/>
          <w:i w:val="false"/>
          <w:color w:val="000000"/>
          <w:sz w:val="28"/>
        </w:rPr>
        <w:t>
      срока обращения облигаций и условий их погашения;</w:t>
      </w:r>
      <w:r>
        <w:br/>
      </w:r>
      <w:r>
        <w:rPr>
          <w:rFonts w:ascii="Times New Roman"/>
          <w:b w:val="false"/>
          <w:i w:val="false"/>
          <w:color w:val="000000"/>
          <w:sz w:val="28"/>
        </w:rPr>
        <w:t>
      даты погашения облигаций;</w:t>
      </w:r>
      <w:r>
        <w:br/>
      </w:r>
      <w:r>
        <w:rPr>
          <w:rFonts w:ascii="Times New Roman"/>
          <w:b w:val="false"/>
          <w:i w:val="false"/>
          <w:color w:val="000000"/>
          <w:sz w:val="28"/>
        </w:rPr>
        <w:t>
      места (мест), где будет произведено погашение облигаций;</w:t>
      </w:r>
      <w:r>
        <w:br/>
      </w:r>
      <w:r>
        <w:rPr>
          <w:rFonts w:ascii="Times New Roman"/>
          <w:b w:val="false"/>
          <w:i w:val="false"/>
          <w:color w:val="000000"/>
          <w:sz w:val="28"/>
        </w:rPr>
        <w:t>
      способа погашения облигаций;</w:t>
      </w:r>
      <w:r>
        <w:br/>
      </w:r>
      <w:r>
        <w:rPr>
          <w:rFonts w:ascii="Times New Roman"/>
          <w:b w:val="false"/>
          <w:i w:val="false"/>
          <w:color w:val="000000"/>
          <w:sz w:val="28"/>
        </w:rPr>
        <w:t>
      места и лиц, к которым необходимо обратиться при погашении облигаций наличными деньгами через кассу эмитента;</w:t>
      </w:r>
      <w:r>
        <w:br/>
      </w:r>
      <w:r>
        <w:rPr>
          <w:rFonts w:ascii="Times New Roman"/>
          <w:b w:val="false"/>
          <w:i w:val="false"/>
          <w:color w:val="000000"/>
          <w:sz w:val="28"/>
        </w:rPr>
        <w:t>
      7) условия и порядок оплаты облигаций:</w:t>
      </w:r>
      <w:r>
        <w:br/>
      </w:r>
      <w:r>
        <w:rPr>
          <w:rFonts w:ascii="Times New Roman"/>
          <w:b w:val="false"/>
          <w:i w:val="false"/>
          <w:color w:val="000000"/>
          <w:sz w:val="28"/>
        </w:rPr>
        <w:t>
      указываются условия, порядок оплаты облигаций (включая облигаций, ранее выпущенным данным эмитентом, срок обращения которых истек), способы расчетов, в том числе с учетом особенностей, предусмотренных планом реструктуризации;</w:t>
      </w:r>
      <w:r>
        <w:br/>
      </w:r>
      <w:r>
        <w:rPr>
          <w:rFonts w:ascii="Times New Roman"/>
          <w:b w:val="false"/>
          <w:i w:val="false"/>
          <w:color w:val="000000"/>
          <w:sz w:val="28"/>
        </w:rPr>
        <w:t>
      8) обеспечение по облигациям (при выпуске ипотечных и иных обеспеченных облигаций):</w:t>
      </w:r>
      <w:r>
        <w:br/>
      </w:r>
      <w:r>
        <w:rPr>
          <w:rFonts w:ascii="Times New Roman"/>
          <w:b w:val="false"/>
          <w:i w:val="false"/>
          <w:color w:val="000000"/>
          <w:sz w:val="28"/>
        </w:rPr>
        <w:t>
      в случае выпуска обеспеченных облигаций указываются:</w:t>
      </w:r>
      <w:r>
        <w:br/>
      </w:r>
      <w:r>
        <w:rPr>
          <w:rFonts w:ascii="Times New Roman"/>
          <w:b w:val="false"/>
          <w:i w:val="false"/>
          <w:color w:val="000000"/>
          <w:sz w:val="28"/>
        </w:rPr>
        <w:t>
      предмет залога, его стоимость и порядок обращения взыскания на предмет залога;</w:t>
      </w:r>
      <w:r>
        <w:br/>
      </w:r>
      <w:r>
        <w:rPr>
          <w:rFonts w:ascii="Times New Roman"/>
          <w:b w:val="false"/>
          <w:i w:val="false"/>
          <w:color w:val="000000"/>
          <w:sz w:val="28"/>
        </w:rPr>
        <w:t>
      условия договора об обеспечении облигаций;</w:t>
      </w:r>
      <w:r>
        <w:br/>
      </w:r>
      <w:r>
        <w:rPr>
          <w:rFonts w:ascii="Times New Roman"/>
          <w:b w:val="false"/>
          <w:i w:val="false"/>
          <w:color w:val="000000"/>
          <w:sz w:val="28"/>
        </w:rPr>
        <w:t>
      если облигации обеспечены гарантией банка - указываются данные банка, предоставившего гарантию, с указанием наименования, места нахождения, контактных телефонов, срока и условий гарантии;</w:t>
      </w:r>
      <w:r>
        <w:br/>
      </w:r>
      <w:r>
        <w:rPr>
          <w:rFonts w:ascii="Times New Roman"/>
          <w:b w:val="false"/>
          <w:i w:val="false"/>
          <w:color w:val="000000"/>
          <w:sz w:val="28"/>
        </w:rPr>
        <w:t>
      9) при выпуске облигаций специальной финансовой компании дополнительно указываются:</w:t>
      </w:r>
      <w:r>
        <w:br/>
      </w:r>
      <w:r>
        <w:rPr>
          <w:rFonts w:ascii="Times New Roman"/>
          <w:b w:val="false"/>
          <w:i w:val="false"/>
          <w:color w:val="000000"/>
          <w:sz w:val="28"/>
        </w:rPr>
        <w:t>
      наименование и место нахождения оригинатора, банка-кастодиана, управляющего агента и лица, осуществляющего сбор платежей по уступленным правам требования, с указанием номера и даты заключения соответствующих договоров;</w:t>
      </w:r>
      <w:r>
        <w:br/>
      </w:r>
      <w:r>
        <w:rPr>
          <w:rFonts w:ascii="Times New Roman"/>
          <w:b w:val="false"/>
          <w:i w:val="false"/>
          <w:color w:val="000000"/>
          <w:sz w:val="28"/>
        </w:rPr>
        <w:t>
      предмет деятельности, права и обязанности оригинатора в сделке секьюритизации;</w:t>
      </w:r>
      <w:r>
        <w:br/>
      </w:r>
      <w:r>
        <w:rPr>
          <w:rFonts w:ascii="Times New Roman"/>
          <w:b w:val="false"/>
          <w:i w:val="false"/>
          <w:color w:val="000000"/>
          <w:sz w:val="28"/>
        </w:rPr>
        <w:t>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r>
        <w:br/>
      </w:r>
      <w:r>
        <w:rPr>
          <w:rFonts w:ascii="Times New Roman"/>
          <w:b w:val="false"/>
          <w:i w:val="false"/>
          <w:color w:val="000000"/>
          <w:sz w:val="28"/>
        </w:rPr>
        <w:t>
      наличие опыта применения секьюритизации оригинатором и лицами, участвующими в сделке секьюритизации;</w:t>
      </w:r>
      <w:r>
        <w:br/>
      </w:r>
      <w:r>
        <w:rPr>
          <w:rFonts w:ascii="Times New Roman"/>
          <w:b w:val="false"/>
          <w:i w:val="false"/>
          <w:color w:val="000000"/>
          <w:sz w:val="28"/>
        </w:rPr>
        <w:t>
      критерии однородности прав требований;</w:t>
      </w:r>
      <w:r>
        <w:br/>
      </w:r>
      <w:r>
        <w:rPr>
          <w:rFonts w:ascii="Times New Roman"/>
          <w:b w:val="false"/>
          <w:i w:val="false"/>
          <w:color w:val="000000"/>
          <w:sz w:val="28"/>
        </w:rPr>
        <w:t>
      размер, состав и прогнозный анализ роста выделенных активов, обеспечивающих сделку секьюритизации;</w:t>
      </w:r>
      <w:r>
        <w:br/>
      </w:r>
      <w:r>
        <w:rPr>
          <w:rFonts w:ascii="Times New Roman"/>
          <w:b w:val="false"/>
          <w:i w:val="false"/>
          <w:color w:val="000000"/>
          <w:sz w:val="28"/>
        </w:rPr>
        <w:t>
      сведения о дополнительном обеспечении;</w:t>
      </w:r>
      <w:r>
        <w:br/>
      </w:r>
      <w:r>
        <w:rPr>
          <w:rFonts w:ascii="Times New Roman"/>
          <w:b w:val="false"/>
          <w:i w:val="false"/>
          <w:color w:val="000000"/>
          <w:sz w:val="28"/>
        </w:rPr>
        <w:t>
      очередность погашения облигаций различных выпусков, выпущенных в пределах данной облигационной программы;</w:t>
      </w:r>
      <w:r>
        <w:br/>
      </w:r>
      <w:r>
        <w:rPr>
          <w:rFonts w:ascii="Times New Roman"/>
          <w:b w:val="false"/>
          <w:i w:val="false"/>
          <w:color w:val="000000"/>
          <w:sz w:val="28"/>
        </w:rPr>
        <w:t>
      10) сведения о представителе держателей облигаций (наименование, место нахождения, контактные телефоны, фамилия, имя, при наличии - отчество первого руководителя, членов исполнительного органа);</w:t>
      </w:r>
      <w:r>
        <w:br/>
      </w:r>
      <w:r>
        <w:rPr>
          <w:rFonts w:ascii="Times New Roman"/>
          <w:b w:val="false"/>
          <w:i w:val="false"/>
          <w:color w:val="000000"/>
          <w:sz w:val="28"/>
        </w:rPr>
        <w:t>
      11) при выпуске инфраструктурных облигаций указываются реквизиты концессионного договора и постановления Правительства Республики Казахстан о предоставлении поручительства государства;</w:t>
      </w:r>
      <w:r>
        <w:br/>
      </w:r>
      <w:r>
        <w:rPr>
          <w:rFonts w:ascii="Times New Roman"/>
          <w:b w:val="false"/>
          <w:i w:val="false"/>
          <w:color w:val="000000"/>
          <w:sz w:val="28"/>
        </w:rPr>
        <w:t>
      12) порядок учета прав по облигациям:</w:t>
      </w:r>
      <w:r>
        <w:br/>
      </w:r>
      <w:r>
        <w:rPr>
          <w:rFonts w:ascii="Times New Roman"/>
          <w:b w:val="false"/>
          <w:i w:val="false"/>
          <w:color w:val="000000"/>
          <w:sz w:val="28"/>
        </w:rPr>
        <w:t>
      указываются наименование регистратора, его место нахождения, номера телефонов, дата и номер договора;</w:t>
      </w:r>
      <w:r>
        <w:br/>
      </w:r>
      <w:r>
        <w:rPr>
          <w:rFonts w:ascii="Times New Roman"/>
          <w:b w:val="false"/>
          <w:i w:val="false"/>
          <w:color w:val="000000"/>
          <w:sz w:val="28"/>
        </w:rPr>
        <w:t>
      13) сведения о платежном агенте:</w:t>
      </w:r>
      <w:r>
        <w:br/>
      </w:r>
      <w:r>
        <w:rPr>
          <w:rFonts w:ascii="Times New Roman"/>
          <w:b w:val="false"/>
          <w:i w:val="false"/>
          <w:color w:val="000000"/>
          <w:sz w:val="28"/>
        </w:rPr>
        <w:t>
      указываются его наименование, место нахождения, номера телефонов, дата и номер соответствующего договора;</w:t>
      </w:r>
      <w:r>
        <w:br/>
      </w:r>
      <w:r>
        <w:rPr>
          <w:rFonts w:ascii="Times New Roman"/>
          <w:b w:val="false"/>
          <w:i w:val="false"/>
          <w:color w:val="000000"/>
          <w:sz w:val="28"/>
        </w:rPr>
        <w:t>
      14) право эмитента досрочно погасить выпуск облигаций (если данное право предусмотрено решением органа эмитента о выпуске облигаций):</w:t>
      </w:r>
      <w:r>
        <w:br/>
      </w:r>
      <w:r>
        <w:rPr>
          <w:rFonts w:ascii="Times New Roman"/>
          <w:b w:val="false"/>
          <w:i w:val="false"/>
          <w:color w:val="000000"/>
          <w:sz w:val="28"/>
        </w:rPr>
        <w:t>
      указываются порядок, условия и сроки реализации эмитентом права досрочного погашения облигаций;</w:t>
      </w:r>
      <w:r>
        <w:br/>
      </w:r>
      <w:r>
        <w:rPr>
          <w:rFonts w:ascii="Times New Roman"/>
          <w:b w:val="false"/>
          <w:i w:val="false"/>
          <w:color w:val="000000"/>
          <w:sz w:val="28"/>
        </w:rPr>
        <w:t>
      15) при выпуске облигаций, оплата которых будет произведена правами требования по облигациям, ранее выпущенным эмитентом, срок обращения которых истек, дополнительно указывается дата и номер государственной регистрации выпуска данных облигаций, их вид и количество;</w:t>
      </w:r>
      <w:r>
        <w:br/>
      </w:r>
      <w:r>
        <w:rPr>
          <w:rFonts w:ascii="Times New Roman"/>
          <w:b w:val="false"/>
          <w:i w:val="false"/>
          <w:color w:val="000000"/>
          <w:sz w:val="28"/>
        </w:rPr>
        <w:t>
      16) сведения об организации, оказывающей консультационные услуги по вопросам включения и нахождения облигаций в официальном списке фондовой биржи (если обязанность заключения договора с такой организацией предусмотрена требованиями Закона);</w:t>
      </w:r>
      <w:r>
        <w:br/>
      </w:r>
      <w:r>
        <w:rPr>
          <w:rFonts w:ascii="Times New Roman"/>
          <w:b w:val="false"/>
          <w:i w:val="false"/>
          <w:color w:val="000000"/>
          <w:sz w:val="28"/>
        </w:rPr>
        <w:t>
      17) права, предоставляемые облигацией ее держателю, с указанием:</w:t>
      </w:r>
      <w:r>
        <w:br/>
      </w:r>
      <w:r>
        <w:rPr>
          <w:rFonts w:ascii="Times New Roman"/>
          <w:b w:val="false"/>
          <w:i w:val="false"/>
          <w:color w:val="000000"/>
          <w:sz w:val="28"/>
        </w:rPr>
        <w:t>
      права получения от эмитента в предусмотренный проспектом выпуска срок номинальной стоимости облигации либо получения иного имущественного эквивалента, а также права на получение фиксированного по ней процента от номинальной стоимости облигации либо иных имущественных прав;</w:t>
      </w:r>
      <w:r>
        <w:br/>
      </w:r>
      <w:r>
        <w:rPr>
          <w:rFonts w:ascii="Times New Roman"/>
          <w:b w:val="false"/>
          <w:i w:val="false"/>
          <w:color w:val="000000"/>
          <w:sz w:val="28"/>
        </w:rPr>
        <w:t>
      права требования досрочного погашения эмитентом облигаций - указываются условия, порядок и сроки реализации данного права, установленного настоящим проспектом, в том числе при нарушении ограничений (ковенант), предусмотренных проспектом выпуска облигаций;</w:t>
      </w:r>
      <w:r>
        <w:br/>
      </w:r>
      <w:r>
        <w:rPr>
          <w:rFonts w:ascii="Times New Roman"/>
          <w:b w:val="false"/>
          <w:i w:val="false"/>
          <w:color w:val="000000"/>
          <w:sz w:val="28"/>
        </w:rPr>
        <w:t>
      если выплата вознаграждения и (или) основного долга будет производиться в соответствии с проспектом выпуска облигаций иными имущественными правами,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r>
        <w:br/>
      </w:r>
      <w:r>
        <w:rPr>
          <w:rFonts w:ascii="Times New Roman"/>
          <w:b w:val="false"/>
          <w:i w:val="false"/>
          <w:color w:val="000000"/>
          <w:sz w:val="28"/>
        </w:rPr>
        <w:t>
      18) порядок информирования эмитентом держателей облигаций о своей деятельности и финансовом состоянии с указанием содержания информации, порядка, сроков и способа раскрытия данной информации, в том числе информирования о нарушении ограничений (ковенант), предусмотренных проспектом выпуска облигаций;</w:t>
      </w:r>
      <w:r>
        <w:br/>
      </w:r>
      <w:r>
        <w:rPr>
          <w:rFonts w:ascii="Times New Roman"/>
          <w:b w:val="false"/>
          <w:i w:val="false"/>
          <w:color w:val="000000"/>
          <w:sz w:val="28"/>
        </w:rPr>
        <w:t>
      19) указываются события, по наступлению которых может быть объявлен дефолт по облигациям эмитента.</w:t>
      </w:r>
      <w:r>
        <w:br/>
      </w:r>
      <w:r>
        <w:rPr>
          <w:rFonts w:ascii="Times New Roman"/>
          <w:b w:val="false"/>
          <w:i w:val="false"/>
          <w:color w:val="000000"/>
          <w:sz w:val="28"/>
        </w:rPr>
        <w:t>
      Указываются меры, которые будут предприняты эмитентом в случае наступления дефолта по облигациям,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r>
        <w:br/>
      </w:r>
      <w:r>
        <w:rPr>
          <w:rFonts w:ascii="Times New Roman"/>
          <w:b w:val="false"/>
          <w:i w:val="false"/>
          <w:color w:val="000000"/>
          <w:sz w:val="28"/>
        </w:rPr>
        <w:t>
      Указывается подробное описание порядка, срока и способа доведения эмитентом до сведения держателей облигаций информации о фактах дефолта, которая включает в себя объем неисполненных обязательств, причину неисполнения обязательств, а также перечисление возможных действий держателей облигаций по удовлетворению своих требований, включая порядок обращения с требованием к эмитенту, лицам, несущим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Если раскрытие указанной информации поручено эмитентом иному юридическому лицу, указываются наименование этого лица и место его нахождения.</w:t>
      </w:r>
      <w:r>
        <w:br/>
      </w:r>
      <w:r>
        <w:rPr>
          <w:rFonts w:ascii="Times New Roman"/>
          <w:b w:val="false"/>
          <w:i w:val="false"/>
          <w:color w:val="000000"/>
          <w:sz w:val="28"/>
        </w:rPr>
        <w:t>
      Указывается дата и номер договора с лицами, несущими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а также дата и номер государственной регистрации юридического лица;</w:t>
      </w:r>
      <w:r>
        <w:br/>
      </w:r>
      <w:r>
        <w:rPr>
          <w:rFonts w:ascii="Times New Roman"/>
          <w:b w:val="false"/>
          <w:i w:val="false"/>
          <w:color w:val="000000"/>
          <w:sz w:val="28"/>
        </w:rPr>
        <w:t>
      20) целевое назначение облигационного займа;</w:t>
      </w:r>
      <w:r>
        <w:br/>
      </w:r>
      <w:r>
        <w:rPr>
          <w:rFonts w:ascii="Times New Roman"/>
          <w:b w:val="false"/>
          <w:i w:val="false"/>
          <w:color w:val="000000"/>
          <w:sz w:val="28"/>
        </w:rPr>
        <w:t>
      21) информация об опционах:</w:t>
      </w:r>
      <w:r>
        <w:br/>
      </w:r>
      <w:r>
        <w:rPr>
          <w:rFonts w:ascii="Times New Roman"/>
          <w:b w:val="false"/>
          <w:i w:val="false"/>
          <w:color w:val="000000"/>
          <w:sz w:val="28"/>
        </w:rPr>
        <w:t>
      если опционы позволяют приобрести облигации эмитента, то в данном подпункте указываются условия заключения опциона;</w:t>
      </w:r>
      <w:r>
        <w:br/>
      </w:r>
      <w:r>
        <w:rPr>
          <w:rFonts w:ascii="Times New Roman"/>
          <w:b w:val="false"/>
          <w:i w:val="false"/>
          <w:color w:val="000000"/>
          <w:sz w:val="28"/>
        </w:rPr>
        <w:t>
      22) рекомендации листинговой комиссии фондовой биржи по включению в проспект выпуска ценных бумаг эмитента дополнительных ограничений, необходимых для обеспечения защиты прав и интересов инвесторов.</w:t>
      </w:r>
      <w:r>
        <w:br/>
      </w:r>
      <w:r>
        <w:rPr>
          <w:rFonts w:ascii="Times New Roman"/>
          <w:b w:val="false"/>
          <w:i w:val="false"/>
          <w:color w:val="000000"/>
          <w:sz w:val="28"/>
        </w:rPr>
        <w:t>
      Указывается обоснование принятия или непринятия эмитентом рекомендаций листинговой комиссии фондовой биржи по включению в проспект выпуска ценных бумаг эмитента дополнительных ограничений, необходимых для обеспечения защиты прав и интересов инвесторов.»;</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40-1</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 Конвертируемые облигации:</w:t>
      </w:r>
      <w:r>
        <w:br/>
      </w:r>
      <w:r>
        <w:rPr>
          <w:rFonts w:ascii="Times New Roman"/>
          <w:b w:val="false"/>
          <w:i w:val="false"/>
          <w:color w:val="000000"/>
          <w:sz w:val="28"/>
        </w:rPr>
        <w:t>
      в случае выпуска и размещения конвертируемых облигаций указываются вид, количество и цена размещения акций, в которые будут конвертироваться облигации, права по акциям, а также порядок и условия такого конвертирования (если выпуск облигаций полностью конвертируется, указывается, что выпуск облигаций подлежит аннулированию в течение месяца с даты завершения конвертации, если выпуск облигаций конвертируется не полностью, указывается, что выкупленные облигации данного выпуска не подлежат дальнейшему размещению, а погашаются в конце срока обращения).</w:t>
      </w:r>
      <w:r>
        <w:br/>
      </w:r>
      <w:r>
        <w:rPr>
          <w:rFonts w:ascii="Times New Roman"/>
          <w:b w:val="false"/>
          <w:i w:val="false"/>
          <w:color w:val="000000"/>
          <w:sz w:val="28"/>
        </w:rPr>
        <w:t>
      40. Способ размещения облигаций:</w:t>
      </w:r>
      <w:r>
        <w:br/>
      </w:r>
      <w:r>
        <w:rPr>
          <w:rFonts w:ascii="Times New Roman"/>
          <w:b w:val="false"/>
          <w:i w:val="false"/>
          <w:color w:val="000000"/>
          <w:sz w:val="28"/>
        </w:rPr>
        <w:t>
      1) дата начала и дата окончания размешения облигаций, в том числе на неорганизованном рынке;</w:t>
      </w:r>
      <w:r>
        <w:br/>
      </w:r>
      <w:r>
        <w:rPr>
          <w:rFonts w:ascii="Times New Roman"/>
          <w:b w:val="false"/>
          <w:i w:val="false"/>
          <w:color w:val="000000"/>
          <w:sz w:val="28"/>
        </w:rPr>
        <w:t>
      2) при размещении облигаций, конвертируемых в акции, указываются условия конвертирования;</w:t>
      </w:r>
      <w:r>
        <w:br/>
      </w:r>
      <w:r>
        <w:rPr>
          <w:rFonts w:ascii="Times New Roman"/>
          <w:b w:val="false"/>
          <w:i w:val="false"/>
          <w:color w:val="000000"/>
          <w:sz w:val="28"/>
        </w:rPr>
        <w:t>
      3) сведения об организациях, принимающих участие в размещении облигаций:</w:t>
      </w:r>
      <w:r>
        <w:br/>
      </w:r>
      <w:r>
        <w:rPr>
          <w:rFonts w:ascii="Times New Roman"/>
          <w:b w:val="false"/>
          <w:i w:val="false"/>
          <w:color w:val="000000"/>
          <w:sz w:val="28"/>
        </w:rPr>
        <w:t>
      указываются наименование, место нахождения организаций, принимающих участие в размещении облигаций, даты и номера соответствующих договоров.</w:t>
      </w:r>
      <w:r>
        <w:br/>
      </w:r>
      <w:r>
        <w:rPr>
          <w:rFonts w:ascii="Times New Roman"/>
          <w:b w:val="false"/>
          <w:i w:val="false"/>
          <w:color w:val="000000"/>
          <w:sz w:val="28"/>
        </w:rPr>
        <w:t>
      40-1. Ограничения (ковенанты), принимаемые эмитентом и не предусмотренные Законом (если это предусмотрено решением органа эмитента при выпуске облигаций).</w:t>
      </w:r>
      <w:r>
        <w:br/>
      </w:r>
      <w:r>
        <w:rPr>
          <w:rFonts w:ascii="Times New Roman"/>
          <w:b w:val="false"/>
          <w:i w:val="false"/>
          <w:color w:val="000000"/>
          <w:sz w:val="28"/>
        </w:rPr>
        <w:t>
      Подробно расписывается порядок действий эмитента и держателя облигаций при нарушении ограничений (ковенант), в том числе, действия эмитента по досрочному погашению облигаций.</w:t>
      </w:r>
      <w:r>
        <w:br/>
      </w:r>
      <w:r>
        <w:rPr>
          <w:rFonts w:ascii="Times New Roman"/>
          <w:b w:val="false"/>
          <w:i w:val="false"/>
          <w:color w:val="000000"/>
          <w:sz w:val="28"/>
        </w:rPr>
        <w:t>
      41. Использование денег от размещения облигаций.</w:t>
      </w:r>
      <w:r>
        <w:br/>
      </w:r>
      <w:r>
        <w:rPr>
          <w:rFonts w:ascii="Times New Roman"/>
          <w:b w:val="false"/>
          <w:i w:val="false"/>
          <w:color w:val="000000"/>
          <w:sz w:val="28"/>
        </w:rPr>
        <w:t>
      Указываются цели и порядок использовании денег, которые эмитент получит от размещения облигаций, а также условия, при наступлении которых возможны изменения в планируемом распределении полученных денег, с указанием таких изменений.</w:t>
      </w:r>
      <w:r>
        <w:br/>
      </w:r>
      <w:r>
        <w:rPr>
          <w:rFonts w:ascii="Times New Roman"/>
          <w:b w:val="false"/>
          <w:i w:val="false"/>
          <w:color w:val="000000"/>
          <w:sz w:val="28"/>
        </w:rPr>
        <w:t>
      При выпуске облигаций специальной финансовой компании указываются:</w:t>
      </w:r>
      <w:r>
        <w:br/>
      </w:r>
      <w:r>
        <w:rPr>
          <w:rFonts w:ascii="Times New Roman"/>
          <w:b w:val="false"/>
          <w:i w:val="false"/>
          <w:color w:val="000000"/>
          <w:sz w:val="28"/>
        </w:rPr>
        <w:t>
      порядок инвестирования временно свободных поступлений по выделенным активам;</w:t>
      </w:r>
      <w:r>
        <w:br/>
      </w:r>
      <w:r>
        <w:rPr>
          <w:rFonts w:ascii="Times New Roman"/>
          <w:b w:val="false"/>
          <w:i w:val="false"/>
          <w:color w:val="000000"/>
          <w:sz w:val="28"/>
        </w:rPr>
        <w:t>
      расходы, связанные с оплатой услуг по сделке секьюритизации, и условия, согласно которым специальная финансовая компания вычитает данные расходы из выделенных активов.</w:t>
      </w:r>
      <w:r>
        <w:br/>
      </w:r>
      <w:r>
        <w:rPr>
          <w:rFonts w:ascii="Times New Roman"/>
          <w:b w:val="false"/>
          <w:i w:val="false"/>
          <w:color w:val="000000"/>
          <w:sz w:val="28"/>
        </w:rPr>
        <w:t>
      Указываются сведения об использовании денег, которые эмитент получит от размещения облигаций, а также условия, при наступлении которых возможны изменения в планируемом распределении полученных денег, с указанием таких изменений.</w:t>
      </w:r>
      <w:r>
        <w:br/>
      </w:r>
      <w:r>
        <w:rPr>
          <w:rFonts w:ascii="Times New Roman"/>
          <w:b w:val="false"/>
          <w:i w:val="false"/>
          <w:color w:val="000000"/>
          <w:sz w:val="28"/>
        </w:rPr>
        <w:t>
      При выпуске инфраструктурных облигаций указываются:</w:t>
      </w:r>
      <w:r>
        <w:br/>
      </w:r>
      <w:r>
        <w:rPr>
          <w:rFonts w:ascii="Times New Roman"/>
          <w:b w:val="false"/>
          <w:i w:val="false"/>
          <w:color w:val="000000"/>
          <w:sz w:val="28"/>
        </w:rPr>
        <w:t>
      расходы, связанные с оплатой услуг представителя держателей облигаций в соответствии с условиями заключенного с ним договора;</w:t>
      </w:r>
      <w:r>
        <w:br/>
      </w:r>
      <w:r>
        <w:rPr>
          <w:rFonts w:ascii="Times New Roman"/>
          <w:b w:val="false"/>
          <w:i w:val="false"/>
          <w:color w:val="000000"/>
          <w:sz w:val="28"/>
        </w:rPr>
        <w:t>
      описание имущества, являющегося обеспечением исполнения обязательств эмитента перед держателями облигаций.»;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Акционеры (участники) эмитента.</w:t>
      </w:r>
      <w:r>
        <w:br/>
      </w:r>
      <w:r>
        <w:rPr>
          <w:rFonts w:ascii="Times New Roman"/>
          <w:b w:val="false"/>
          <w:i w:val="false"/>
          <w:color w:val="000000"/>
          <w:sz w:val="28"/>
        </w:rPr>
        <w:t>
      В данном пункте указываются:</w:t>
      </w:r>
      <w:r>
        <w:br/>
      </w:r>
      <w:r>
        <w:rPr>
          <w:rFonts w:ascii="Times New Roman"/>
          <w:b w:val="false"/>
          <w:i w:val="false"/>
          <w:color w:val="000000"/>
          <w:sz w:val="28"/>
        </w:rPr>
        <w:t>
      1) общее количество акционеров (участников) эмитента (в случае если акционером (участником) эмитента является юридическое лицо, указываются крупные акционеры либо участники, которые владеют десятью и более процентами долей участия в уставном капитале данного юридического лица), наименование, место нахождения юридического лица либо фамилия, имя акционеров (участников), которые владеют десятью и более процентами размещенных акций (долей в уставном капитале) эмитента;</w:t>
      </w:r>
      <w:r>
        <w:br/>
      </w:r>
      <w:r>
        <w:rPr>
          <w:rFonts w:ascii="Times New Roman"/>
          <w:b w:val="false"/>
          <w:i w:val="false"/>
          <w:color w:val="000000"/>
          <w:sz w:val="28"/>
        </w:rPr>
        <w:t>
      2) сведения о лицах, не являющихся акционерами (участниками) эмитента, но обладающие правом контролировать деятельность эмитента через другие организации.»;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«25-1. Ограничения (ковенанты), принимаемые эмитентом и не предусмотренные Законом (если это предусмотрено решением органа эмитента при выпуске облигаций).</w:t>
      </w:r>
      <w:r>
        <w:br/>
      </w:r>
      <w:r>
        <w:rPr>
          <w:rFonts w:ascii="Times New Roman"/>
          <w:b w:val="false"/>
          <w:i w:val="false"/>
          <w:color w:val="000000"/>
          <w:sz w:val="28"/>
        </w:rPr>
        <w:t>
      Подробно расписывается порядок действий эмитента и держателя облигаций при нарушении ограничений (ковенант), в том числе действия эмитента по досрочному погашению облигаций.»;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3-2 изложить в следующей редакции:</w:t>
      </w:r>
      <w:r>
        <w:br/>
      </w:r>
      <w:r>
        <w:rPr>
          <w:rFonts w:ascii="Times New Roman"/>
          <w:b w:val="false"/>
          <w:i w:val="false"/>
          <w:color w:val="000000"/>
          <w:sz w:val="28"/>
        </w:rPr>
        <w:t>
      «3-2. Ограничения (ковенанты), принимаемые эмитентом и не предусмотренные </w:t>
      </w:r>
      <w:r>
        <w:rPr>
          <w:rFonts w:ascii="Times New Roman"/>
          <w:b w:val="false"/>
          <w:i w:val="false"/>
          <w:color w:val="000000"/>
          <w:sz w:val="28"/>
        </w:rPr>
        <w:t>Законом</w:t>
      </w:r>
      <w:r>
        <w:rPr>
          <w:rFonts w:ascii="Times New Roman"/>
          <w:b w:val="false"/>
          <w:i w:val="false"/>
          <w:color w:val="000000"/>
          <w:sz w:val="28"/>
        </w:rPr>
        <w:t xml:space="preserve"> (если это предусмотрено решением органа эмитента о выпуске облигаций).</w:t>
      </w:r>
      <w:r>
        <w:br/>
      </w:r>
      <w:r>
        <w:rPr>
          <w:rFonts w:ascii="Times New Roman"/>
          <w:b w:val="false"/>
          <w:i w:val="false"/>
          <w:color w:val="000000"/>
          <w:sz w:val="28"/>
        </w:rPr>
        <w:t>
      Подробно расписывается порядок действий эмитента и держателя облигаций при нарушении ограничений (ковенант), в том числе действия эмитента по досрочному погашению облигаций.»;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Способ размещения облигаций:</w:t>
      </w:r>
      <w:r>
        <w:br/>
      </w:r>
      <w:r>
        <w:rPr>
          <w:rFonts w:ascii="Times New Roman"/>
          <w:b w:val="false"/>
          <w:i w:val="false"/>
          <w:color w:val="000000"/>
          <w:sz w:val="28"/>
        </w:rPr>
        <w:t>
      1) срок и порядок размещения облигаций:</w:t>
      </w:r>
      <w:r>
        <w:br/>
      </w:r>
      <w:r>
        <w:rPr>
          <w:rFonts w:ascii="Times New Roman"/>
          <w:b w:val="false"/>
          <w:i w:val="false"/>
          <w:color w:val="000000"/>
          <w:sz w:val="28"/>
        </w:rPr>
        <w:t>
      в случае размещения облигаций на неорганизованном рынке указываются дата начала и дата окончания размещения облигаций (при наличии);</w:t>
      </w:r>
      <w:r>
        <w:br/>
      </w:r>
      <w:r>
        <w:rPr>
          <w:rFonts w:ascii="Times New Roman"/>
          <w:b w:val="false"/>
          <w:i w:val="false"/>
          <w:color w:val="000000"/>
          <w:sz w:val="28"/>
        </w:rPr>
        <w:t>
      2) при размещении облигаций, конвертируемых в акции, указываются условия конвертирования;</w:t>
      </w:r>
      <w:r>
        <w:br/>
      </w:r>
      <w:r>
        <w:rPr>
          <w:rFonts w:ascii="Times New Roman"/>
          <w:b w:val="false"/>
          <w:i w:val="false"/>
          <w:color w:val="000000"/>
          <w:sz w:val="28"/>
        </w:rPr>
        <w:t>
      3) условия и порядок оплаты облигаций:</w:t>
      </w:r>
      <w:r>
        <w:br/>
      </w:r>
      <w:r>
        <w:rPr>
          <w:rFonts w:ascii="Times New Roman"/>
          <w:b w:val="false"/>
          <w:i w:val="false"/>
          <w:color w:val="000000"/>
          <w:sz w:val="28"/>
        </w:rPr>
        <w:t>
      указываются условия, порядок оплаты облигаций, способы расчетов, в том числе с учетом особенностей, предусмотренных планом реструктуризации.»;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Сведения о размещении облигаций:</w:t>
      </w:r>
      <w:r>
        <w:br/>
      </w:r>
      <w:r>
        <w:rPr>
          <w:rFonts w:ascii="Times New Roman"/>
          <w:b w:val="false"/>
          <w:i w:val="false"/>
          <w:color w:val="000000"/>
          <w:sz w:val="28"/>
        </w:rPr>
        <w:t>
      1) дата утверждения предыдущего (предыдущих) отчета (отчетов) с указанием даты начала и даты окончания периода размещения, количества размещенных облигаций и суммы, привлеченных денег отдельно за каждый предыдущий отчетный период размещения облигаций, а также даты принятия к сведению информации о неразмещении облигаций;</w:t>
      </w:r>
      <w:r>
        <w:br/>
      </w:r>
      <w:r>
        <w:rPr>
          <w:rFonts w:ascii="Times New Roman"/>
          <w:b w:val="false"/>
          <w:i w:val="false"/>
          <w:color w:val="000000"/>
          <w:sz w:val="28"/>
        </w:rPr>
        <w:t>
      2) дата начала и дата окончания периода размещения, за который представляется отчет;</w:t>
      </w:r>
      <w:r>
        <w:br/>
      </w:r>
      <w:r>
        <w:rPr>
          <w:rFonts w:ascii="Times New Roman"/>
          <w:b w:val="false"/>
          <w:i w:val="false"/>
          <w:color w:val="000000"/>
          <w:sz w:val="28"/>
        </w:rPr>
        <w:t>
      3) количество облигаций, размещенных на неорганизованном рынке ценных бумаг путем подписки и аукциона и сумма привлеченных денег. В случае размещения облигаций путем проведения аукциона, указываются даты их проведения и наивысшая цена продажи на аукционе;</w:t>
      </w:r>
      <w:r>
        <w:br/>
      </w:r>
      <w:r>
        <w:rPr>
          <w:rFonts w:ascii="Times New Roman"/>
          <w:b w:val="false"/>
          <w:i w:val="false"/>
          <w:color w:val="000000"/>
          <w:sz w:val="28"/>
        </w:rPr>
        <w:t>
      4) информация о размещении облигаций на организованном рынке ценных бумаг (категория списка организатора торгов, рыночная стоимость облигаций на дату окончания размещения облигаций, наивысшая цена на торгах и дата первых и последних торгов, количество размещенных облигаций и сумма привлеченных денег);</w:t>
      </w:r>
      <w:r>
        <w:br/>
      </w:r>
      <w:r>
        <w:rPr>
          <w:rFonts w:ascii="Times New Roman"/>
          <w:b w:val="false"/>
          <w:i w:val="false"/>
          <w:color w:val="000000"/>
          <w:sz w:val="28"/>
        </w:rPr>
        <w:t>
      5) количество размещенных облигаций за отчетный период и всего, с учетом ранее размещенных облигаций, с даты начала их обращения;</w:t>
      </w:r>
      <w:r>
        <w:br/>
      </w:r>
      <w:r>
        <w:rPr>
          <w:rFonts w:ascii="Times New Roman"/>
          <w:b w:val="false"/>
          <w:i w:val="false"/>
          <w:color w:val="000000"/>
          <w:sz w:val="28"/>
        </w:rPr>
        <w:t>
      6) информация о размещенных облигациях, оплата которых произведена правами требования по облигациям, ранее выпущенным эмитентом, срок обращения которых истек, с указанием даты и номера государственной регистрации выпуска облигаций, вида, количества данных облигаций;</w:t>
      </w:r>
      <w:r>
        <w:br/>
      </w:r>
      <w:r>
        <w:rPr>
          <w:rFonts w:ascii="Times New Roman"/>
          <w:b w:val="false"/>
          <w:i w:val="false"/>
          <w:color w:val="000000"/>
          <w:sz w:val="28"/>
        </w:rPr>
        <w:t>
      7) количество выкупленных облигаций на дату окончания отчетного периода, дата принятия решения о выкупе, а также сумма расходов, понесенных эмитентом при их выкупе;</w:t>
      </w:r>
      <w:r>
        <w:br/>
      </w:r>
      <w:r>
        <w:rPr>
          <w:rFonts w:ascii="Times New Roman"/>
          <w:b w:val="false"/>
          <w:i w:val="false"/>
          <w:color w:val="000000"/>
          <w:sz w:val="28"/>
        </w:rPr>
        <w:t>
      8) количество облигаций, размещенных на территории иностранного государства, с указанием даты получения разрешения уполномоченного органа на размещение облигаций на территории иностранного государства;</w:t>
      </w:r>
      <w:r>
        <w:br/>
      </w:r>
      <w:r>
        <w:rPr>
          <w:rFonts w:ascii="Times New Roman"/>
          <w:b w:val="false"/>
          <w:i w:val="false"/>
          <w:color w:val="000000"/>
          <w:sz w:val="28"/>
        </w:rPr>
        <w:t>
      9) информация об андеррайтерах (эмиссионных консорциумах) выпуска облигаций. В данном подпункте указывается информация:</w:t>
      </w:r>
      <w:r>
        <w:br/>
      </w:r>
      <w:r>
        <w:rPr>
          <w:rFonts w:ascii="Times New Roman"/>
          <w:b w:val="false"/>
          <w:i w:val="false"/>
          <w:color w:val="000000"/>
          <w:sz w:val="28"/>
        </w:rPr>
        <w:t>
      о наименовании профессионального участника рынка ценных бумаг, дате и номере договора на оказание услуг андеррайтера, заключенных эмитентом, а также об участниках эмиссионного консорциума;</w:t>
      </w:r>
      <w:r>
        <w:br/>
      </w:r>
      <w:r>
        <w:rPr>
          <w:rFonts w:ascii="Times New Roman"/>
          <w:b w:val="false"/>
          <w:i w:val="false"/>
          <w:color w:val="000000"/>
          <w:sz w:val="28"/>
        </w:rPr>
        <w:t>
      о дисконте и комиссионных, которые выплачены (подлежат выплате) андеррайтерам или другим участникам размещения, представителям в процентном выражении от общего объема размещения, объеме дисконта и комиссионных на каждую размещаемую облигацию и другие сведения о расходах;</w:t>
      </w:r>
      <w:r>
        <w:br/>
      </w:r>
      <w:r>
        <w:rPr>
          <w:rFonts w:ascii="Times New Roman"/>
          <w:b w:val="false"/>
          <w:i w:val="false"/>
          <w:color w:val="000000"/>
          <w:sz w:val="28"/>
        </w:rPr>
        <w:t>
      о количестве размещенных облигаций без привлечения андеррайтеров и дальнейших планах размещения;</w:t>
      </w:r>
      <w:r>
        <w:br/>
      </w:r>
      <w:r>
        <w:rPr>
          <w:rFonts w:ascii="Times New Roman"/>
          <w:b w:val="false"/>
          <w:i w:val="false"/>
          <w:color w:val="000000"/>
          <w:sz w:val="28"/>
        </w:rPr>
        <w:t>
      10) сведения о количестве собственников облигаций по категориям собственников: резиденты и нерезиденты; физические и юридические лица;</w:t>
      </w:r>
      <w:r>
        <w:br/>
      </w:r>
      <w:r>
        <w:rPr>
          <w:rFonts w:ascii="Times New Roman"/>
          <w:b w:val="false"/>
          <w:i w:val="false"/>
          <w:color w:val="000000"/>
          <w:sz w:val="28"/>
        </w:rPr>
        <w:t>
      пенсионные фонды, страховые компании, банки второго уровня, небанковские организации, брокеры - дилеры и прочие с указанием количества облигаций, принадлежащих собственникам каждой из вышеуказанных категорий лиц;</w:t>
      </w:r>
      <w:r>
        <w:br/>
      </w:r>
      <w:r>
        <w:rPr>
          <w:rFonts w:ascii="Times New Roman"/>
          <w:b w:val="false"/>
          <w:i w:val="false"/>
          <w:color w:val="000000"/>
          <w:sz w:val="28"/>
        </w:rPr>
        <w:t>
      количество облигаций, размещенных аффиллированным лицам с указанием данных аффилиированных лиц;</w:t>
      </w:r>
      <w:r>
        <w:br/>
      </w:r>
      <w:r>
        <w:rPr>
          <w:rFonts w:ascii="Times New Roman"/>
          <w:b w:val="false"/>
          <w:i w:val="false"/>
          <w:color w:val="000000"/>
          <w:sz w:val="28"/>
        </w:rPr>
        <w:t>
      11) количество неразмещенных облигаций.»;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Правления Национального Банка РК от 19.12.2015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70"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2012 года № 77</w:t>
      </w:r>
    </w:p>
    <w:bookmarkEnd w:id="4"/>
    <w:p>
      <w:pPr>
        <w:spacing w:after="0"/>
        <w:ind w:left="0"/>
        <w:jc w:val="both"/>
      </w:pPr>
      <w:r>
        <w:rPr>
          <w:rFonts w:ascii="Times New Roman"/>
          <w:b w:val="false"/>
          <w:i w:val="false"/>
          <w:color w:val="ff0000"/>
          <w:sz w:val="28"/>
        </w:rPr>
        <w:t xml:space="preserve">      Сноска. Приложение 1 утратило силу постановлением Правления Национального Банка РК от 29.02.2016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2012 года № 77</w:t>
      </w:r>
    </w:p>
    <w:bookmarkEnd w:id="5"/>
    <w:p>
      <w:pPr>
        <w:spacing w:after="0"/>
        <w:ind w:left="0"/>
        <w:jc w:val="both"/>
      </w:pPr>
      <w:r>
        <w:rPr>
          <w:rFonts w:ascii="Times New Roman"/>
          <w:b w:val="false"/>
          <w:i w:val="false"/>
          <w:color w:val="ff0000"/>
          <w:sz w:val="28"/>
        </w:rPr>
        <w:t xml:space="preserve">      Сноска. Приложение 2 утратило силу постановлением Правления Национального Банка РК от 29.02.2016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2012 года № 77</w:t>
      </w:r>
    </w:p>
    <w:bookmarkEnd w:id="6"/>
    <w:p>
      <w:pPr>
        <w:spacing w:after="0"/>
        <w:ind w:left="0"/>
        <w:jc w:val="both"/>
      </w:pPr>
      <w:r>
        <w:rPr>
          <w:rFonts w:ascii="Times New Roman"/>
          <w:b w:val="false"/>
          <w:i w:val="false"/>
          <w:color w:val="ff0000"/>
          <w:sz w:val="28"/>
        </w:rPr>
        <w:t xml:space="preserve">      Сноска. Приложение 3 утратило силу постановлением Правления Национального Банка РК от 29.02.2016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 w:id="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2012 года № 77</w:t>
      </w:r>
    </w:p>
    <w:bookmarkEnd w:id="7"/>
    <w:p>
      <w:pPr>
        <w:spacing w:after="0"/>
        <w:ind w:left="0"/>
        <w:jc w:val="both"/>
      </w:pPr>
      <w:r>
        <w:rPr>
          <w:rFonts w:ascii="Times New Roman"/>
          <w:b w:val="false"/>
          <w:i w:val="false"/>
          <w:color w:val="ff0000"/>
          <w:sz w:val="28"/>
        </w:rPr>
        <w:t xml:space="preserve">      Сноска. Приложение 4 утратило силу постановлением Правления Национального Банка РК от 29.02.2016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2012 года № 77</w:t>
      </w:r>
    </w:p>
    <w:bookmarkEnd w:id="8"/>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негосударственных </w:t>
      </w:r>
      <w:r>
        <w:br/>
      </w:r>
      <w:r>
        <w:rPr>
          <w:rFonts w:ascii="Times New Roman"/>
          <w:b w:val="false"/>
          <w:i w:val="false"/>
          <w:color w:val="000000"/>
          <w:sz w:val="28"/>
        </w:rPr>
        <w:t xml:space="preserve">
облигаций и рассмотрения отчетов об итогах </w:t>
      </w:r>
      <w:r>
        <w:br/>
      </w:r>
      <w:r>
        <w:rPr>
          <w:rFonts w:ascii="Times New Roman"/>
          <w:b w:val="false"/>
          <w:i w:val="false"/>
          <w:color w:val="000000"/>
          <w:sz w:val="28"/>
        </w:rPr>
        <w:t xml:space="preserve">
размещения и погашения облигаций,     </w:t>
      </w:r>
      <w:r>
        <w:br/>
      </w:r>
      <w:r>
        <w:rPr>
          <w:rFonts w:ascii="Times New Roman"/>
          <w:b w:val="false"/>
          <w:i w:val="false"/>
          <w:color w:val="000000"/>
          <w:sz w:val="28"/>
        </w:rPr>
        <w:t xml:space="preserve">
аннулирования выпуска облигаций     </w:t>
      </w:r>
    </w:p>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Информация о фактах неисполнения либо ненадлежащего исполнения</w:t>
      </w:r>
      <w:r>
        <w:br/>
      </w:r>
      <w:r>
        <w:rPr>
          <w:rFonts w:ascii="Times New Roman"/>
          <w:b/>
          <w:i w:val="false"/>
          <w:color w:val="000000"/>
        </w:rPr>
        <w:t>
обязательств по облигациям (наименование эмитента,</w:t>
      </w:r>
      <w:r>
        <w:br/>
      </w:r>
      <w:r>
        <w:rPr>
          <w:rFonts w:ascii="Times New Roman"/>
          <w:b/>
          <w:i w:val="false"/>
          <w:color w:val="000000"/>
        </w:rPr>
        <w:t>
номер выпуска облигаций) по состоянию на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585"/>
        <w:gridCol w:w="1524"/>
        <w:gridCol w:w="1545"/>
        <w:gridCol w:w="1303"/>
        <w:gridCol w:w="1222"/>
        <w:gridCol w:w="1223"/>
        <w:gridCol w:w="1405"/>
      </w:tblGrid>
      <w:tr>
        <w:trPr>
          <w:trHeight w:val="162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НИН</w:t>
            </w:r>
            <w:r>
              <w:br/>
            </w:r>
            <w:r>
              <w:rPr>
                <w:rFonts w:ascii="Times New Roman"/>
                <w:b w:val="false"/>
                <w:i w:val="false"/>
                <w:color w:val="000000"/>
                <w:sz w:val="20"/>
              </w:rPr>
              <w:t>
</w:t>
            </w:r>
            <w:r>
              <w:rPr>
                <w:rFonts w:ascii="Times New Roman"/>
                <w:b w:val="false"/>
                <w:i w:val="false"/>
                <w:color w:val="000000"/>
                <w:sz w:val="20"/>
              </w:rPr>
              <w:t>облигации</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облигации</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облигации</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погашения</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облигаций</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купонной</w:t>
            </w:r>
            <w:r>
              <w:br/>
            </w:r>
            <w:r>
              <w:rPr>
                <w:rFonts w:ascii="Times New Roman"/>
                <w:b w:val="false"/>
                <w:i w:val="false"/>
                <w:color w:val="000000"/>
                <w:sz w:val="20"/>
              </w:rPr>
              <w:t>
</w:t>
            </w:r>
            <w:r>
              <w:rPr>
                <w:rFonts w:ascii="Times New Roman"/>
                <w:b w:val="false"/>
                <w:i w:val="false"/>
                <w:color w:val="000000"/>
                <w:sz w:val="20"/>
              </w:rPr>
              <w:t>ставки</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разме-</w:t>
            </w:r>
            <w:r>
              <w:br/>
            </w:r>
            <w:r>
              <w:rPr>
                <w:rFonts w:ascii="Times New Roman"/>
                <w:b w:val="false"/>
                <w:i w:val="false"/>
                <w:color w:val="000000"/>
                <w:sz w:val="20"/>
              </w:rPr>
              <w:t>
</w:t>
            </w:r>
            <w:r>
              <w:rPr>
                <w:rFonts w:ascii="Times New Roman"/>
                <w:b w:val="false"/>
                <w:i w:val="false"/>
                <w:color w:val="000000"/>
                <w:sz w:val="20"/>
              </w:rPr>
              <w:t>щенных</w:t>
            </w:r>
            <w:r>
              <w:br/>
            </w:r>
            <w:r>
              <w:rPr>
                <w:rFonts w:ascii="Times New Roman"/>
                <w:b w:val="false"/>
                <w:i w:val="false"/>
                <w:color w:val="000000"/>
                <w:sz w:val="20"/>
              </w:rPr>
              <w:t>
</w:t>
            </w:r>
            <w:r>
              <w:rPr>
                <w:rFonts w:ascii="Times New Roman"/>
                <w:b w:val="false"/>
                <w:i w:val="false"/>
                <w:color w:val="000000"/>
                <w:sz w:val="20"/>
              </w:rPr>
              <w:t>облига-</w:t>
            </w:r>
            <w:r>
              <w:br/>
            </w:r>
            <w:r>
              <w:rPr>
                <w:rFonts w:ascii="Times New Roman"/>
                <w:b w:val="false"/>
                <w:i w:val="false"/>
                <w:color w:val="000000"/>
                <w:sz w:val="20"/>
              </w:rPr>
              <w:t>
</w:t>
            </w:r>
            <w:r>
              <w:rPr>
                <w:rFonts w:ascii="Times New Roman"/>
                <w:b w:val="false"/>
                <w:i w:val="false"/>
                <w:color w:val="000000"/>
                <w:sz w:val="20"/>
              </w:rPr>
              <w:t>ций</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нераз-</w:t>
            </w:r>
            <w:r>
              <w:br/>
            </w:r>
            <w:r>
              <w:rPr>
                <w:rFonts w:ascii="Times New Roman"/>
                <w:b w:val="false"/>
                <w:i w:val="false"/>
                <w:color w:val="000000"/>
                <w:sz w:val="20"/>
              </w:rPr>
              <w:t>
</w:t>
            </w:r>
            <w:r>
              <w:rPr>
                <w:rFonts w:ascii="Times New Roman"/>
                <w:b w:val="false"/>
                <w:i w:val="false"/>
                <w:color w:val="000000"/>
                <w:sz w:val="20"/>
              </w:rPr>
              <w:t>мещен-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выкуп-</w:t>
            </w:r>
            <w:r>
              <w:br/>
            </w:r>
            <w:r>
              <w:rPr>
                <w:rFonts w:ascii="Times New Roman"/>
                <w:b w:val="false"/>
                <w:i w:val="false"/>
                <w:color w:val="000000"/>
                <w:sz w:val="20"/>
              </w:rPr>
              <w:t>
</w:t>
            </w:r>
            <w:r>
              <w:rPr>
                <w:rFonts w:ascii="Times New Roman"/>
                <w:b w:val="false"/>
                <w:i w:val="false"/>
                <w:color w:val="000000"/>
                <w:sz w:val="20"/>
              </w:rPr>
              <w:t>ленных</w:t>
            </w:r>
            <w:r>
              <w:br/>
            </w:r>
            <w:r>
              <w:rPr>
                <w:rFonts w:ascii="Times New Roman"/>
                <w:b w:val="false"/>
                <w:i w:val="false"/>
                <w:color w:val="000000"/>
                <w:sz w:val="20"/>
              </w:rPr>
              <w:t>
</w:t>
            </w:r>
            <w:r>
              <w:rPr>
                <w:rFonts w:ascii="Times New Roman"/>
                <w:b w:val="false"/>
                <w:i w:val="false"/>
                <w:color w:val="000000"/>
                <w:sz w:val="20"/>
              </w:rPr>
              <w:t>облига-</w:t>
            </w:r>
            <w:r>
              <w:br/>
            </w:r>
            <w:r>
              <w:rPr>
                <w:rFonts w:ascii="Times New Roman"/>
                <w:b w:val="false"/>
                <w:i w:val="false"/>
                <w:color w:val="000000"/>
                <w:sz w:val="20"/>
              </w:rPr>
              <w:t>
</w:t>
            </w:r>
            <w:r>
              <w:rPr>
                <w:rFonts w:ascii="Times New Roman"/>
                <w:b w:val="false"/>
                <w:i w:val="false"/>
                <w:color w:val="000000"/>
                <w:sz w:val="20"/>
              </w:rPr>
              <w:t>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9"/>
    <w:p>
      <w:pPr>
        <w:spacing w:after="0"/>
        <w:ind w:left="0"/>
        <w:jc w:val="both"/>
      </w:pPr>
      <w:r>
        <w:rPr>
          <w:rFonts w:ascii="Times New Roman"/>
          <w:b w:val="false"/>
          <w:i w:val="false"/>
          <w:color w:val="000000"/>
          <w:sz w:val="28"/>
        </w:rPr>
        <w:t>
      продолжение таблицы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473"/>
        <w:gridCol w:w="2373"/>
        <w:gridCol w:w="2253"/>
        <w:gridCol w:w="1573"/>
        <w:gridCol w:w="217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купонной</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периодичность</w:t>
            </w:r>
            <w:r>
              <w:br/>
            </w:r>
            <w:r>
              <w:rPr>
                <w:rFonts w:ascii="Times New Roman"/>
                <w:b w:val="false"/>
                <w:i w:val="false"/>
                <w:color w:val="000000"/>
                <w:sz w:val="20"/>
              </w:rPr>
              <w:t>
</w:t>
            </w:r>
            <w:r>
              <w:rPr>
                <w:rFonts w:ascii="Times New Roman"/>
                <w:b w:val="false"/>
                <w:i w:val="false"/>
                <w:color w:val="000000"/>
                <w:sz w:val="20"/>
              </w:rPr>
              <w:t>выплаты</w:t>
            </w:r>
            <w:r>
              <w:br/>
            </w:r>
            <w:r>
              <w:rPr>
                <w:rFonts w:ascii="Times New Roman"/>
                <w:b w:val="false"/>
                <w:i w:val="false"/>
                <w:color w:val="000000"/>
                <w:sz w:val="20"/>
              </w:rPr>
              <w:t>
</w:t>
            </w:r>
            <w:r>
              <w:rPr>
                <w:rFonts w:ascii="Times New Roman"/>
                <w:b w:val="false"/>
                <w:i w:val="false"/>
                <w:color w:val="000000"/>
                <w:sz w:val="20"/>
              </w:rPr>
              <w:t>купона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дефолта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выплаченного</w:t>
            </w:r>
            <w:r>
              <w:br/>
            </w:r>
            <w:r>
              <w:rPr>
                <w:rFonts w:ascii="Times New Roman"/>
                <w:b w:val="false"/>
                <w:i w:val="false"/>
                <w:color w:val="000000"/>
                <w:sz w:val="20"/>
              </w:rPr>
              <w:t>
</w:t>
            </w:r>
            <w:r>
              <w:rPr>
                <w:rFonts w:ascii="Times New Roman"/>
                <w:b w:val="false"/>
                <w:i w:val="false"/>
                <w:color w:val="000000"/>
                <w:sz w:val="20"/>
              </w:rPr>
              <w:t>купонного</w:t>
            </w:r>
            <w:r>
              <w:br/>
            </w:r>
            <w:r>
              <w:rPr>
                <w:rFonts w:ascii="Times New Roman"/>
                <w:b w:val="false"/>
                <w:i w:val="false"/>
                <w:color w:val="000000"/>
                <w:sz w:val="20"/>
              </w:rPr>
              <w:t>
</w:t>
            </w:r>
            <w:r>
              <w:rPr>
                <w:rFonts w:ascii="Times New Roman"/>
                <w:b w:val="false"/>
                <w:i w:val="false"/>
                <w:color w:val="000000"/>
                <w:sz w:val="20"/>
              </w:rPr>
              <w:t>вознаграждения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Задолженности</w:t>
            </w:r>
            <w:r>
              <w:br/>
            </w:r>
            <w:r>
              <w:rPr>
                <w:rFonts w:ascii="Times New Roman"/>
                <w:b w:val="false"/>
                <w:i w:val="false"/>
                <w:color w:val="000000"/>
                <w:sz w:val="20"/>
              </w:rPr>
              <w:t>
</w:t>
            </w:r>
            <w:r>
              <w:rPr>
                <w:rFonts w:ascii="Times New Roman"/>
                <w:b w:val="false"/>
                <w:i w:val="false"/>
                <w:color w:val="000000"/>
                <w:sz w:val="20"/>
              </w:rPr>
              <w:t>по купонному</w:t>
            </w:r>
            <w:r>
              <w:br/>
            </w:r>
            <w:r>
              <w:rPr>
                <w:rFonts w:ascii="Times New Roman"/>
                <w:b w:val="false"/>
                <w:i w:val="false"/>
                <w:color w:val="000000"/>
                <w:sz w:val="20"/>
              </w:rPr>
              <w:t>
</w:t>
            </w:r>
            <w:r>
              <w:rPr>
                <w:rFonts w:ascii="Times New Roman"/>
                <w:b w:val="false"/>
                <w:i w:val="false"/>
                <w:color w:val="000000"/>
                <w:sz w:val="20"/>
              </w:rPr>
              <w:t>вознаграж-</w:t>
            </w:r>
            <w:r>
              <w:br/>
            </w:r>
            <w:r>
              <w:rPr>
                <w:rFonts w:ascii="Times New Roman"/>
                <w:b w:val="false"/>
                <w:i w:val="false"/>
                <w:color w:val="000000"/>
                <w:sz w:val="20"/>
              </w:rPr>
              <w:t>
</w:t>
            </w:r>
            <w:r>
              <w:rPr>
                <w:rFonts w:ascii="Times New Roman"/>
                <w:b w:val="false"/>
                <w:i w:val="false"/>
                <w:color w:val="000000"/>
                <w:sz w:val="20"/>
              </w:rPr>
              <w:t>дению</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задолжен-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по основ-</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долгу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неурегу-</w:t>
            </w:r>
            <w:r>
              <w:br/>
            </w:r>
            <w:r>
              <w:rPr>
                <w:rFonts w:ascii="Times New Roman"/>
                <w:b w:val="false"/>
                <w:i w:val="false"/>
                <w:color w:val="000000"/>
                <w:sz w:val="20"/>
              </w:rPr>
              <w:t>
</w:t>
            </w:r>
            <w:r>
              <w:rPr>
                <w:rFonts w:ascii="Times New Roman"/>
                <w:b w:val="false"/>
                <w:i w:val="false"/>
                <w:color w:val="000000"/>
                <w:sz w:val="20"/>
              </w:rPr>
              <w:t>лирован</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 xml:space="preserve">долга,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неурегу</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рован</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долгом</w:t>
            </w:r>
            <w:r>
              <w:br/>
            </w:r>
            <w:r>
              <w:rPr>
                <w:rFonts w:ascii="Times New Roman"/>
                <w:b w:val="false"/>
                <w:i w:val="false"/>
                <w:color w:val="000000"/>
                <w:sz w:val="20"/>
              </w:rPr>
              <w:t>
</w:t>
            </w:r>
            <w:r>
              <w:rPr>
                <w:rFonts w:ascii="Times New Roman"/>
                <w:b w:val="false"/>
                <w:i w:val="false"/>
                <w:color w:val="000000"/>
                <w:sz w:val="20"/>
              </w:rPr>
              <w:t>считать сумму</w:t>
            </w:r>
            <w:r>
              <w:br/>
            </w:r>
            <w:r>
              <w:rPr>
                <w:rFonts w:ascii="Times New Roman"/>
                <w:b w:val="false"/>
                <w:i w:val="false"/>
                <w:color w:val="000000"/>
                <w:sz w:val="20"/>
              </w:rPr>
              <w:t>
</w:t>
            </w:r>
            <w:r>
              <w:rPr>
                <w:rFonts w:ascii="Times New Roman"/>
                <w:b w:val="false"/>
                <w:i w:val="false"/>
                <w:color w:val="000000"/>
                <w:sz w:val="20"/>
              </w:rPr>
              <w:t>задолжен-</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ости, по</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наступил</w:t>
            </w:r>
            <w:r>
              <w:br/>
            </w:r>
            <w:r>
              <w:rPr>
                <w:rFonts w:ascii="Times New Roman"/>
                <w:b w:val="false"/>
                <w:i w:val="false"/>
                <w:color w:val="000000"/>
                <w:sz w:val="20"/>
              </w:rPr>
              <w:t>
</w:t>
            </w:r>
            <w:r>
              <w:rPr>
                <w:rFonts w:ascii="Times New Roman"/>
                <w:b w:val="false"/>
                <w:i w:val="false"/>
                <w:color w:val="000000"/>
                <w:sz w:val="20"/>
              </w:rPr>
              <w:t>дефолт</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пени и</w:t>
            </w:r>
            <w:r>
              <w:br/>
            </w:r>
            <w:r>
              <w:rPr>
                <w:rFonts w:ascii="Times New Roman"/>
                <w:b w:val="false"/>
                <w:i w:val="false"/>
                <w:color w:val="000000"/>
                <w:sz w:val="20"/>
              </w:rPr>
              <w:t>
</w:t>
            </w:r>
            <w:r>
              <w:rPr>
                <w:rFonts w:ascii="Times New Roman"/>
                <w:b w:val="false"/>
                <w:i w:val="false"/>
                <w:color w:val="000000"/>
                <w:sz w:val="20"/>
              </w:rPr>
              <w:t xml:space="preserve">штрафов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просрочку)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10"/>
    <w:p>
      <w:pPr>
        <w:spacing w:after="0"/>
        <w:ind w:left="0"/>
        <w:jc w:val="both"/>
      </w:pPr>
      <w:r>
        <w:rPr>
          <w:rFonts w:ascii="Times New Roman"/>
          <w:b w:val="false"/>
          <w:i w:val="false"/>
          <w:color w:val="000000"/>
          <w:sz w:val="28"/>
        </w:rPr>
        <w:t>
      продолжение таблицы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38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нерезидентов</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среди держателей</w:t>
            </w:r>
            <w:r>
              <w:br/>
            </w:r>
            <w:r>
              <w:rPr>
                <w:rFonts w:ascii="Times New Roman"/>
                <w:b w:val="false"/>
                <w:i w:val="false"/>
                <w:color w:val="000000"/>
                <w:sz w:val="20"/>
              </w:rPr>
              <w:t>
</w:t>
            </w:r>
            <w:r>
              <w:rPr>
                <w:rFonts w:ascii="Times New Roman"/>
                <w:b w:val="false"/>
                <w:i w:val="false"/>
                <w:color w:val="000000"/>
                <w:sz w:val="20"/>
              </w:rPr>
              <w:t>облигаций</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процентах)</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финансовых</w:t>
            </w:r>
            <w:r>
              <w:br/>
            </w:r>
            <w:r>
              <w:rPr>
                <w:rFonts w:ascii="Times New Roman"/>
                <w:b w:val="false"/>
                <w:i w:val="false"/>
                <w:color w:val="000000"/>
                <w:sz w:val="20"/>
              </w:rPr>
              <w:t>
</w:t>
            </w:r>
            <w:r>
              <w:rPr>
                <w:rFonts w:ascii="Times New Roman"/>
                <w:b w:val="false"/>
                <w:i w:val="false"/>
                <w:color w:val="000000"/>
                <w:sz w:val="20"/>
              </w:rPr>
              <w:t>организаций среди</w:t>
            </w:r>
            <w:r>
              <w:br/>
            </w:r>
            <w:r>
              <w:rPr>
                <w:rFonts w:ascii="Times New Roman"/>
                <w:b w:val="false"/>
                <w:i w:val="false"/>
                <w:color w:val="000000"/>
                <w:sz w:val="20"/>
              </w:rPr>
              <w:t>
</w:t>
            </w:r>
            <w:r>
              <w:rPr>
                <w:rFonts w:ascii="Times New Roman"/>
                <w:b w:val="false"/>
                <w:i w:val="false"/>
                <w:color w:val="000000"/>
                <w:sz w:val="20"/>
              </w:rPr>
              <w:t>держателей облигаций</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процентах)</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1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2012 года № 77</w:t>
      </w:r>
    </w:p>
    <w:bookmarkEnd w:id="11"/>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выпуска исламских ценных бумаг, рассмотрения </w:t>
      </w:r>
      <w:r>
        <w:br/>
      </w:r>
      <w:r>
        <w:rPr>
          <w:rFonts w:ascii="Times New Roman"/>
          <w:b w:val="false"/>
          <w:i w:val="false"/>
          <w:color w:val="000000"/>
          <w:sz w:val="28"/>
        </w:rPr>
        <w:t xml:space="preserve">
отчетов об итогах размещения и погашения   </w:t>
      </w:r>
      <w:r>
        <w:br/>
      </w:r>
      <w:r>
        <w:rPr>
          <w:rFonts w:ascii="Times New Roman"/>
          <w:b w:val="false"/>
          <w:i w:val="false"/>
          <w:color w:val="000000"/>
          <w:sz w:val="28"/>
        </w:rPr>
        <w:t xml:space="preserve">
исламских ценных бумаг, а также присвоения   </w:t>
      </w:r>
      <w:r>
        <w:br/>
      </w:r>
      <w:r>
        <w:rPr>
          <w:rFonts w:ascii="Times New Roman"/>
          <w:b w:val="false"/>
          <w:i w:val="false"/>
          <w:color w:val="000000"/>
          <w:sz w:val="28"/>
        </w:rPr>
        <w:t xml:space="preserve">
национального идентификационного номера  </w:t>
      </w:r>
      <w:r>
        <w:br/>
      </w:r>
      <w:r>
        <w:rPr>
          <w:rFonts w:ascii="Times New Roman"/>
          <w:b w:val="false"/>
          <w:i w:val="false"/>
          <w:color w:val="000000"/>
          <w:sz w:val="28"/>
        </w:rPr>
        <w:t xml:space="preserve">
исламским ценным бумагам          </w:t>
      </w:r>
    </w:p>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Свидетельство </w:t>
      </w:r>
      <w:r>
        <w:br/>
      </w:r>
      <w:r>
        <w:rPr>
          <w:rFonts w:ascii="Times New Roman"/>
          <w:b/>
          <w:i w:val="false"/>
          <w:color w:val="000000"/>
        </w:rPr>
        <w:t>
о государственной регистрации выпуска ценных бумаг</w:t>
      </w:r>
    </w:p>
    <w:p>
      <w:pPr>
        <w:spacing w:after="0"/>
        <w:ind w:left="0"/>
        <w:jc w:val="both"/>
      </w:pPr>
      <w:r>
        <w:rPr>
          <w:rFonts w:ascii="Times New Roman"/>
          <w:b w:val="false"/>
          <w:i w:val="false"/>
          <w:color w:val="ff0000"/>
          <w:sz w:val="28"/>
        </w:rPr>
        <w:t xml:space="preserve">      Сноска. Приложение 7 утратило силу постановлением Правления Национального Банка РК от 19.12.2015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 w:id="1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2012 года № 77</w:t>
      </w:r>
    </w:p>
    <w:bookmarkEnd w:id="12"/>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выпуска исламских ценных бумаг, рассмотрения</w:t>
      </w:r>
      <w:r>
        <w:br/>
      </w:r>
      <w:r>
        <w:rPr>
          <w:rFonts w:ascii="Times New Roman"/>
          <w:b w:val="false"/>
          <w:i w:val="false"/>
          <w:color w:val="000000"/>
          <w:sz w:val="28"/>
        </w:rPr>
        <w:t>
отчетов об итогах размещения и погашения</w:t>
      </w:r>
      <w:r>
        <w:br/>
      </w:r>
      <w:r>
        <w:rPr>
          <w:rFonts w:ascii="Times New Roman"/>
          <w:b w:val="false"/>
          <w:i w:val="false"/>
          <w:color w:val="000000"/>
          <w:sz w:val="28"/>
        </w:rPr>
        <w:t xml:space="preserve">
исламских ценных бумаг, а также присвоения </w:t>
      </w:r>
      <w:r>
        <w:br/>
      </w:r>
      <w:r>
        <w:rPr>
          <w:rFonts w:ascii="Times New Roman"/>
          <w:b w:val="false"/>
          <w:i w:val="false"/>
          <w:color w:val="000000"/>
          <w:sz w:val="28"/>
        </w:rPr>
        <w:t xml:space="preserve">
национального идентификационного номера </w:t>
      </w:r>
      <w:r>
        <w:br/>
      </w:r>
      <w:r>
        <w:rPr>
          <w:rFonts w:ascii="Times New Roman"/>
          <w:b w:val="false"/>
          <w:i w:val="false"/>
          <w:color w:val="000000"/>
          <w:sz w:val="28"/>
        </w:rPr>
        <w:t xml:space="preserve">
исламским ценным бумагам        </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Уведомление </w:t>
      </w:r>
      <w:r>
        <w:br/>
      </w:r>
      <w:r>
        <w:rPr>
          <w:rFonts w:ascii="Times New Roman"/>
          <w:b/>
          <w:i w:val="false"/>
          <w:color w:val="000000"/>
        </w:rPr>
        <w:t>
об утверждении отчета об итогах размещения</w:t>
      </w:r>
      <w:r>
        <w:br/>
      </w:r>
      <w:r>
        <w:rPr>
          <w:rFonts w:ascii="Times New Roman"/>
          <w:b/>
          <w:i w:val="false"/>
          <w:color w:val="000000"/>
        </w:rPr>
        <w:t>
(погашения) исламских ценных бумаг</w:t>
      </w:r>
    </w:p>
    <w:p>
      <w:pPr>
        <w:spacing w:after="0"/>
        <w:ind w:left="0"/>
        <w:jc w:val="both"/>
      </w:pPr>
      <w:r>
        <w:rPr>
          <w:rFonts w:ascii="Times New Roman"/>
          <w:b w:val="false"/>
          <w:i w:val="false"/>
          <w:color w:val="ff0000"/>
          <w:sz w:val="28"/>
        </w:rPr>
        <w:t xml:space="preserve">      Сноска. Приложение 6 утратило силу постановлением Правления Национального Банка РК от 19.12.2015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