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9461" w14:textId="23d9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60. Зарегистрировано в Министерстве юстиции Республики Казахстан 10 апреля 2012 года № 7540.</w:t>
      </w:r>
    </w:p>
    <w:p>
      <w:pPr>
        <w:spacing w:after="0"/>
        <w:ind w:left="0"/>
        <w:jc w:val="both"/>
      </w:pPr>
      <w:bookmarkStart w:name="z1" w:id="0"/>
      <w:r>
        <w:rPr>
          <w:rFonts w:ascii="Times New Roman"/>
          <w:b w:val="false"/>
          <w:i w:val="false"/>
          <w:color w:val="ff0000"/>
          <w:sz w:val="28"/>
        </w:rPr>
        <w:t xml:space="preserve">
      Сноска. Заголовок приказа в редакции постановления Правления Национального Банка РК от 28.10.2016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(далее - Закон) Правление Национального Банка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инвестирования финансовых инструментов и иного имущества, входящего в состав активов инвестиционного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Перечень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258 "Об утверждении Правил инвестирования активов инвестиционного фонда за пределами Республики Казахстан" (зарегистрированное в Реестре государственной регистрации нормативных правовых актов под № 3131).</w:t>
      </w:r>
    </w:p>
    <w:bookmarkEnd w:id="4"/>
    <w:bookmarkStart w:name="z6" w:id="5"/>
    <w:p>
      <w:pPr>
        <w:spacing w:after="0"/>
        <w:ind w:left="0"/>
        <w:jc w:val="both"/>
      </w:pPr>
      <w:r>
        <w:rPr>
          <w:rFonts w:ascii="Times New Roman"/>
          <w:b w:val="false"/>
          <w:i w:val="false"/>
          <w:color w:val="000000"/>
          <w:sz w:val="28"/>
        </w:rPr>
        <w:t>
      3. Управляющим компаниям в течение трех месяцев со дня введения в действие настоящего постановления привести свою деятельность в соответствие с требованиями настоящего постановления.</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инвестирования финансовых инструментов и иного имущества,</w:t>
      </w:r>
      <w:r>
        <w:br/>
      </w:r>
      <w:r>
        <w:rPr>
          <w:rFonts w:ascii="Times New Roman"/>
          <w:b/>
          <w:i w:val="false"/>
          <w:color w:val="000000"/>
        </w:rPr>
        <w:t>входящего в состав активов инвестиционного фонда</w:t>
      </w:r>
    </w:p>
    <w:bookmarkEnd w:id="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постановлением Правления Национального Банка РК от 28.10.2016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Настоящие Правила инвестирования финансовых инструментов и иного имущества, входящего в состав активов инвестиционного фонда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устанавливают порядок инвестирования финансовых инструментов и иного имущества, входящего в состав активов акционерных и паевых инвестиционных фондов.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 Для целей Правил используются следующие понятия:</w:t>
      </w:r>
    </w:p>
    <w:bookmarkEnd w:id="9"/>
    <w:bookmarkStart w:name="z605" w:id="10"/>
    <w:p>
      <w:pPr>
        <w:spacing w:after="0"/>
        <w:ind w:left="0"/>
        <w:jc w:val="both"/>
      </w:pP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p>
    <w:bookmarkEnd w:id="10"/>
    <w:bookmarkStart w:name="z606" w:id="11"/>
    <w:p>
      <w:pPr>
        <w:spacing w:after="0"/>
        <w:ind w:left="0"/>
        <w:jc w:val="both"/>
      </w:pPr>
      <w:r>
        <w:rPr>
          <w:rFonts w:ascii="Times New Roman"/>
          <w:b w:val="false"/>
          <w:i w:val="false"/>
          <w:color w:val="000000"/>
          <w:sz w:val="28"/>
        </w:rPr>
        <w:t>
      2)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 по регулированию, контролю и надзору финансового рынка и финансовых организаций (далее - уполномоченный орган);</w:t>
      </w:r>
    </w:p>
    <w:bookmarkEnd w:id="11"/>
    <w:bookmarkStart w:name="z607" w:id="12"/>
    <w:p>
      <w:pPr>
        <w:spacing w:after="0"/>
        <w:ind w:left="0"/>
        <w:jc w:val="both"/>
      </w:pPr>
      <w:r>
        <w:rPr>
          <w:rFonts w:ascii="Times New Roman"/>
          <w:b w:val="false"/>
          <w:i w:val="false"/>
          <w:color w:val="000000"/>
          <w:sz w:val="28"/>
        </w:rPr>
        <w:t>
      3) биржевой паевой инвестиционный фонд (Exchange Traded Fund) (ETF) (Эксчейндж Трэйдэд Фандс) - интервальный паевой инвестиционный фонд индексного инвестирования, паи которого обращаются на фондовой бирже;</w:t>
      </w:r>
    </w:p>
    <w:bookmarkEnd w:id="12"/>
    <w:bookmarkStart w:name="z608" w:id="13"/>
    <w:p>
      <w:pPr>
        <w:spacing w:after="0"/>
        <w:ind w:left="0"/>
        <w:jc w:val="both"/>
      </w:pPr>
      <w:r>
        <w:rPr>
          <w:rFonts w:ascii="Times New Roman"/>
          <w:b w:val="false"/>
          <w:i w:val="false"/>
          <w:color w:val="000000"/>
          <w:sz w:val="28"/>
        </w:rPr>
        <w:t xml:space="preserve">
      4) инвестиционный фонд – акционерный или паевой инвестиционный фонд, созданный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
    <w:bookmarkStart w:name="z609" w:id="14"/>
    <w:p>
      <w:pPr>
        <w:spacing w:after="0"/>
        <w:ind w:left="0"/>
        <w:jc w:val="both"/>
      </w:pPr>
      <w:r>
        <w:rPr>
          <w:rFonts w:ascii="Times New Roman"/>
          <w:b w:val="false"/>
          <w:i w:val="false"/>
          <w:color w:val="000000"/>
          <w:sz w:val="28"/>
        </w:rPr>
        <w:t>
      5) контрпартнер -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p>
    <w:bookmarkEnd w:id="14"/>
    <w:bookmarkStart w:name="z610" w:id="15"/>
    <w:p>
      <w:pPr>
        <w:spacing w:after="0"/>
        <w:ind w:left="0"/>
        <w:jc w:val="both"/>
      </w:pPr>
      <w:r>
        <w:rPr>
          <w:rFonts w:ascii="Times New Roman"/>
          <w:b w:val="false"/>
          <w:i w:val="false"/>
          <w:color w:val="000000"/>
          <w:sz w:val="28"/>
        </w:rPr>
        <w:t>
      6)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w:t>
      </w:r>
    </w:p>
    <w:bookmarkEnd w:id="15"/>
    <w:bookmarkStart w:name="z611" w:id="16"/>
    <w:p>
      <w:pPr>
        <w:spacing w:after="0"/>
        <w:ind w:left="0"/>
        <w:jc w:val="both"/>
      </w:pPr>
      <w:r>
        <w:rPr>
          <w:rFonts w:ascii="Times New Roman"/>
          <w:b w:val="false"/>
          <w:i w:val="false"/>
          <w:color w:val="000000"/>
          <w:sz w:val="28"/>
        </w:rPr>
        <w:t>
      7) пай Exchange Traded Funds (ETF) (Эксчейндж Трэйдэд Фандс) – гибридный торговый инструмент, ценообразование по которому привязано к тому или иному классу активов (акции, облигации, товарные продукты) либо индексам;</w:t>
      </w:r>
    </w:p>
    <w:bookmarkEnd w:id="16"/>
    <w:bookmarkStart w:name="z612" w:id="17"/>
    <w:p>
      <w:pPr>
        <w:spacing w:after="0"/>
        <w:ind w:left="0"/>
        <w:jc w:val="both"/>
      </w:pPr>
      <w:r>
        <w:rPr>
          <w:rFonts w:ascii="Times New Roman"/>
          <w:b w:val="false"/>
          <w:i w:val="false"/>
          <w:color w:val="000000"/>
          <w:sz w:val="28"/>
        </w:rPr>
        <w:t>
      8) principal protected notes (принципл протектед ноутс) – долговые ценные бумаги, по которым установлена гарантия эмитента по полному возврату суммы основного долга.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2. Управляющая компания осуществляет инвестиционное управление активами инвестиционного фонда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настоящих Правил,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зарегистрированного в Реестре государственной регистрации нормативных правовых актов под № 9248,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зарегистрированного в Реестре государственной регистрации нормативных правовых актов под № 8796, и инвестиционной декларации инвестиционного фонда.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Управляющая компания заключает сделки за счет активов инвестиционных фондов, принятых в инвестиционное управление, самостоятельно при наличии лицензии на осуществление брокерской и (или) дилерской деятельности либо с использованием услуг юридических лиц, обладающих правом заключать сделки с финансовыми инструментами в соответствии с законодательством Республики Казахстан или иностранного государства (при заключении сделок за счет активов инвестиционного фонда за пределами Республики Казахстан).</w:t>
      </w:r>
    </w:p>
    <w:bookmarkEnd w:id="19"/>
    <w:p>
      <w:pPr>
        <w:spacing w:after="0"/>
        <w:ind w:left="0"/>
        <w:jc w:val="both"/>
      </w:pPr>
      <w:r>
        <w:rPr>
          <w:rFonts w:ascii="Times New Roman"/>
          <w:b w:val="false"/>
          <w:i w:val="false"/>
          <w:color w:val="000000"/>
          <w:sz w:val="28"/>
        </w:rPr>
        <w:t>
      Сделки за счет активов инвестиционного фонда, принятых управляющей компанией в инвестиционное управление, с негосударственными ценными бумагами на первичном неорганизованном рынке (при их размещении), а также с ценными бумагами, не допущенными к обращению на организованном рынке ценных бумаг, и долями участия в уставном капитале юридических лиц совершаются управляющей компанией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27.08.2013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При заключении сделок с финансовыми инструментами управляющая компания руководствуется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(зарегистрированным в Реестре государственной регистрации нормативных правовых актов под № 9249.)</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Если договором по управлению инвестиционным портфелем инвестиционного фонда предусмотрена возможность передачи управляющей компанией исполнения условий указанного договора третьему лицу, то договором также предусматривается:</w:t>
      </w:r>
    </w:p>
    <w:bookmarkEnd w:id="21"/>
    <w:bookmarkStart w:name="z24" w:id="22"/>
    <w:p>
      <w:pPr>
        <w:spacing w:after="0"/>
        <w:ind w:left="0"/>
        <w:jc w:val="both"/>
      </w:pPr>
      <w:r>
        <w:rPr>
          <w:rFonts w:ascii="Times New Roman"/>
          <w:b w:val="false"/>
          <w:i w:val="false"/>
          <w:color w:val="000000"/>
          <w:sz w:val="28"/>
        </w:rPr>
        <w:t>
      1) ответственность управляющей компании по обязательствам перед акционерным инвестиционным фондом либо держателями паев паевого инвестиционного фонда;</w:t>
      </w:r>
    </w:p>
    <w:bookmarkEnd w:id="22"/>
    <w:bookmarkStart w:name="z25" w:id="23"/>
    <w:p>
      <w:pPr>
        <w:spacing w:after="0"/>
        <w:ind w:left="0"/>
        <w:jc w:val="both"/>
      </w:pPr>
      <w:r>
        <w:rPr>
          <w:rFonts w:ascii="Times New Roman"/>
          <w:b w:val="false"/>
          <w:i w:val="false"/>
          <w:color w:val="000000"/>
          <w:sz w:val="28"/>
        </w:rPr>
        <w:t>
      2) условие управления активами инвестиционного фонда с соблюдением настоящих Правил и инвестиционной декларации данного инвестиционного фонда.</w:t>
      </w:r>
    </w:p>
    <w:bookmarkEnd w:id="23"/>
    <w:bookmarkStart w:name="z26" w:id="24"/>
    <w:p>
      <w:pPr>
        <w:spacing w:after="0"/>
        <w:ind w:left="0"/>
        <w:jc w:val="both"/>
      </w:pPr>
      <w:r>
        <w:rPr>
          <w:rFonts w:ascii="Times New Roman"/>
          <w:b w:val="false"/>
          <w:i w:val="false"/>
          <w:color w:val="000000"/>
          <w:sz w:val="28"/>
        </w:rPr>
        <w:t xml:space="preserve">
      6. Управляющая компания инвестирует активы открытых и интервальных паевых инвестиционных фондов и фондов недвижимости, находящиеся в инвестиционном управлении, в перечень финансовых инструментов, которые могут входить в состав активов акционерных и паевых инвестиционных фондов, определенный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24"/>
    <w:bookmarkStart w:name="z27" w:id="25"/>
    <w:p>
      <w:pPr>
        <w:spacing w:after="0"/>
        <w:ind w:left="0"/>
        <w:jc w:val="both"/>
      </w:pPr>
      <w:r>
        <w:rPr>
          <w:rFonts w:ascii="Times New Roman"/>
          <w:b w:val="false"/>
          <w:i w:val="false"/>
          <w:color w:val="000000"/>
          <w:sz w:val="28"/>
        </w:rPr>
        <w:t>
      Активы акционерных инвестиционных фондов (за исключением фондов недвижимости) и закрытых инвестиционных фондов, находящиеся в инвестиционном управлении у управляющей компании, инвестируются в перечень объектов инвестирования, определенный инвестиционной декларацией инвестиционного фонда.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7. Заключение сделок с производными финансовыми инструментами за счет активов фондов недвижимости, открытых и интервальных паевых инвестиционных фондов допускается для целей хеджирования при условии, что данные производные финансовые инструменты предусмотрены перечнем финансовых инструментов, которые могут входить в состав активов акционерных и паевых инвестиционных фондов, определенным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8. Управляющая компания осуществляет инвестирование активов инвестиционного фонда при соблюдении лимитов инвестирования, установленных Правилами и инвестиционной декларацией инвестиционного фонда.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28"/>
    <w:p>
      <w:pPr>
        <w:spacing w:after="0"/>
        <w:ind w:left="0"/>
        <w:jc w:val="both"/>
      </w:pPr>
      <w:r>
        <w:rPr>
          <w:rFonts w:ascii="Times New Roman"/>
          <w:b w:val="false"/>
          <w:i w:val="false"/>
          <w:color w:val="000000"/>
          <w:sz w:val="28"/>
        </w:rPr>
        <w:t xml:space="preserve">
      8-1. Суммарный размер инвестиций за счет активов инвестиционного фонда в финансовые инструменты, выпущенные (предоставленные) одним лицом и его аффилированными лицами, за исключением финансовых инструментов, суммарный размер инвестиций в которые за счет активов инвестиционного фонда установлен </w:t>
      </w:r>
      <w:r>
        <w:rPr>
          <w:rFonts w:ascii="Times New Roman"/>
          <w:b w:val="false"/>
          <w:i w:val="false"/>
          <w:color w:val="000000"/>
          <w:sz w:val="28"/>
        </w:rPr>
        <w:t>пунктом 8-2</w:t>
      </w:r>
      <w:r>
        <w:rPr>
          <w:rFonts w:ascii="Times New Roman"/>
          <w:b w:val="false"/>
          <w:i w:val="false"/>
          <w:color w:val="000000"/>
          <w:sz w:val="28"/>
        </w:rPr>
        <w:t xml:space="preserve"> Правил, не превышает:</w:t>
      </w:r>
    </w:p>
    <w:bookmarkEnd w:id="28"/>
    <w:bookmarkStart w:name="z597" w:id="29"/>
    <w:p>
      <w:pPr>
        <w:spacing w:after="0"/>
        <w:ind w:left="0"/>
        <w:jc w:val="both"/>
      </w:pPr>
      <w:r>
        <w:rPr>
          <w:rFonts w:ascii="Times New Roman"/>
          <w:b w:val="false"/>
          <w:i w:val="false"/>
          <w:color w:val="000000"/>
          <w:sz w:val="28"/>
        </w:rPr>
        <w:t>
      1) двадцать процентов стоимости чистых активов для открытого или интервального паевого инвестиционного фонда;</w:t>
      </w:r>
    </w:p>
    <w:bookmarkEnd w:id="29"/>
    <w:bookmarkStart w:name="z598" w:id="30"/>
    <w:p>
      <w:pPr>
        <w:spacing w:after="0"/>
        <w:ind w:left="0"/>
        <w:jc w:val="both"/>
      </w:pPr>
      <w:r>
        <w:rPr>
          <w:rFonts w:ascii="Times New Roman"/>
          <w:b w:val="false"/>
          <w:i w:val="false"/>
          <w:color w:val="000000"/>
          <w:sz w:val="28"/>
        </w:rPr>
        <w:t>
      2) тридцать процентов стоимости чистых активов для акционерного инвестиционного фонда и закрытого паевого инвестиционного фонда;</w:t>
      </w:r>
    </w:p>
    <w:bookmarkEnd w:id="30"/>
    <w:bookmarkStart w:name="z599" w:id="31"/>
    <w:p>
      <w:pPr>
        <w:spacing w:after="0"/>
        <w:ind w:left="0"/>
        <w:jc w:val="both"/>
      </w:pPr>
      <w:r>
        <w:rPr>
          <w:rFonts w:ascii="Times New Roman"/>
          <w:b w:val="false"/>
          <w:i w:val="false"/>
          <w:color w:val="000000"/>
          <w:sz w:val="28"/>
        </w:rPr>
        <w:t>
      3) сто процентов стоимости активов открытого, интервального и закрытого паевого инвестиционного фонда и акционерного инвестиционного фонда в отношении денег, ценных бумаг, являющихся предметом операции обратного репо, заключенной с участием центрального контрагента, государственных ценных бумаг Республики Казахстан, паев Exchange Traded Funds (Эксчейндж Трэйдэд Фандс), ценообразование по которым привязано к фондовым индексам.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32"/>
    <w:p>
      <w:pPr>
        <w:spacing w:after="0"/>
        <w:ind w:left="0"/>
        <w:jc w:val="both"/>
      </w:pPr>
      <w:r>
        <w:rPr>
          <w:rFonts w:ascii="Times New Roman"/>
          <w:b w:val="false"/>
          <w:i w:val="false"/>
          <w:color w:val="000000"/>
          <w:sz w:val="28"/>
        </w:rPr>
        <w:t>
      8-2.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не превышает:</w:t>
      </w:r>
    </w:p>
    <w:bookmarkEnd w:id="32"/>
    <w:bookmarkStart w:name="z601" w:id="33"/>
    <w:p>
      <w:pPr>
        <w:spacing w:after="0"/>
        <w:ind w:left="0"/>
        <w:jc w:val="both"/>
      </w:pPr>
      <w:r>
        <w:rPr>
          <w:rFonts w:ascii="Times New Roman"/>
          <w:b w:val="false"/>
          <w:i w:val="false"/>
          <w:color w:val="000000"/>
          <w:sz w:val="28"/>
        </w:rPr>
        <w:t>
      1) тридцать процентов стоимости чистых активов для открытого или интервального паевого инвестиционного фонда;</w:t>
      </w:r>
    </w:p>
    <w:bookmarkEnd w:id="33"/>
    <w:bookmarkStart w:name="z602" w:id="34"/>
    <w:p>
      <w:pPr>
        <w:spacing w:after="0"/>
        <w:ind w:left="0"/>
        <w:jc w:val="both"/>
      </w:pPr>
      <w:r>
        <w:rPr>
          <w:rFonts w:ascii="Times New Roman"/>
          <w:b w:val="false"/>
          <w:i w:val="false"/>
          <w:color w:val="000000"/>
          <w:sz w:val="28"/>
        </w:rPr>
        <w:t>
      2) пятьдесят процентов стоимости чистых активов для акционерного инвестиционного фонда и закрытого паевого инвестиционного фонда.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35"/>
    <w:p>
      <w:pPr>
        <w:spacing w:after="0"/>
        <w:ind w:left="0"/>
        <w:jc w:val="both"/>
      </w:pPr>
      <w:r>
        <w:rPr>
          <w:rFonts w:ascii="Times New Roman"/>
          <w:b w:val="false"/>
          <w:i w:val="false"/>
          <w:color w:val="000000"/>
          <w:sz w:val="28"/>
        </w:rPr>
        <w:t xml:space="preserve">
      8-3. Суммарные размеры инвестиций за счет активов инвестиционных фондов в финансовые инструменты, указанные в </w:t>
      </w:r>
      <w:r>
        <w:rPr>
          <w:rFonts w:ascii="Times New Roman"/>
          <w:b w:val="false"/>
          <w:i w:val="false"/>
          <w:color w:val="000000"/>
          <w:sz w:val="28"/>
        </w:rPr>
        <w:t>пунктах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Правил, не превышают сто процентов от стоимости активов инвестиционного фонда рискового инвестирования и двадцати процентов от стоимости чистых активов фонда недвижимости.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9. Управляющая компания в процессе управления активами инвестиционных фондов (за исключением инвестиционных фондов рискового инвестирования) не принимает инвестиционных решений, предполагающих:</w:t>
      </w:r>
    </w:p>
    <w:bookmarkEnd w:id="36"/>
    <w:bookmarkStart w:name="z31" w:id="37"/>
    <w:p>
      <w:pPr>
        <w:spacing w:after="0"/>
        <w:ind w:left="0"/>
        <w:jc w:val="both"/>
      </w:pPr>
      <w:r>
        <w:rPr>
          <w:rFonts w:ascii="Times New Roman"/>
          <w:b w:val="false"/>
          <w:i w:val="false"/>
          <w:color w:val="000000"/>
          <w:sz w:val="28"/>
        </w:rPr>
        <w:t>
      1) приобретение финансовых инструментов за счет активов акционерного инвестиционного фонда, а также открытого и интервального паевого инвестиционного фонда, по которым эмитентом допущен дефолт за исключением обмена (конвертирования) ценных бумаг и иных обязательств эмитента на ценные бумаги данного эмитента, выпущенные в целях реструктуризации обязательств эмитента) либо приостановлены торги фондовой биржей;</w:t>
      </w:r>
    </w:p>
    <w:bookmarkEnd w:id="37"/>
    <w:bookmarkStart w:name="z32" w:id="38"/>
    <w:p>
      <w:pPr>
        <w:spacing w:after="0"/>
        <w:ind w:left="0"/>
        <w:jc w:val="both"/>
      </w:pPr>
      <w:r>
        <w:rPr>
          <w:rFonts w:ascii="Times New Roman"/>
          <w:b w:val="false"/>
          <w:i w:val="false"/>
          <w:color w:val="000000"/>
          <w:sz w:val="28"/>
        </w:rPr>
        <w:t>
      2) заключение сделок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w:t>
      </w:r>
    </w:p>
    <w:bookmarkEnd w:id="38"/>
    <w:bookmarkStart w:name="z33" w:id="39"/>
    <w:p>
      <w:pPr>
        <w:spacing w:after="0"/>
        <w:ind w:left="0"/>
        <w:jc w:val="both"/>
      </w:pPr>
      <w:r>
        <w:rPr>
          <w:rFonts w:ascii="Times New Roman"/>
          <w:b w:val="false"/>
          <w:i w:val="false"/>
          <w:color w:val="000000"/>
          <w:sz w:val="28"/>
        </w:rPr>
        <w:t>
      3) участие активами открытых или интервальных паевых инвестиционных фондов в простых товариществах;</w:t>
      </w:r>
    </w:p>
    <w:bookmarkEnd w:id="39"/>
    <w:bookmarkStart w:name="z34" w:id="40"/>
    <w:p>
      <w:pPr>
        <w:spacing w:after="0"/>
        <w:ind w:left="0"/>
        <w:jc w:val="both"/>
      </w:pPr>
      <w:r>
        <w:rPr>
          <w:rFonts w:ascii="Times New Roman"/>
          <w:b w:val="false"/>
          <w:i w:val="false"/>
          <w:color w:val="000000"/>
          <w:sz w:val="28"/>
        </w:rPr>
        <w:t>
      4) приобретение долей участия в хозяйственных товариществах, имеющих отрицательный собственный капитал на дату принятия инвестиционного решения;</w:t>
      </w:r>
    </w:p>
    <w:bookmarkEnd w:id="40"/>
    <w:bookmarkStart w:name="z35" w:id="41"/>
    <w:p>
      <w:pPr>
        <w:spacing w:after="0"/>
        <w:ind w:left="0"/>
        <w:jc w:val="both"/>
      </w:pPr>
      <w:r>
        <w:rPr>
          <w:rFonts w:ascii="Times New Roman"/>
          <w:b w:val="false"/>
          <w:i w:val="false"/>
          <w:color w:val="000000"/>
          <w:sz w:val="28"/>
        </w:rPr>
        <w:t>
      5) приобретение финансовых инструментов, выпущенных (предоставленных) юридическими лицами, более пятидесяти процентов активов которых являются предметом судебного разбирательства.</w:t>
      </w:r>
    </w:p>
    <w:bookmarkEnd w:id="41"/>
    <w:bookmarkStart w:name="z36" w:id="42"/>
    <w:p>
      <w:pPr>
        <w:spacing w:after="0"/>
        <w:ind w:left="0"/>
        <w:jc w:val="both"/>
      </w:pPr>
      <w:r>
        <w:rPr>
          <w:rFonts w:ascii="Times New Roman"/>
          <w:b w:val="false"/>
          <w:i w:val="false"/>
          <w:color w:val="000000"/>
          <w:sz w:val="28"/>
        </w:rPr>
        <w:t>
      10. Сделки за счет активов инвестиционного фонда совершаются на международных (иностранных) рынках ценных бумаг при соблюдении следующих условий:</w:t>
      </w:r>
    </w:p>
    <w:bookmarkEnd w:id="42"/>
    <w:p>
      <w:pPr>
        <w:spacing w:after="0"/>
        <w:ind w:left="0"/>
        <w:jc w:val="both"/>
      </w:pPr>
      <w:r>
        <w:rPr>
          <w:rFonts w:ascii="Times New Roman"/>
          <w:b w:val="false"/>
          <w:i w:val="false"/>
          <w:color w:val="000000"/>
          <w:sz w:val="28"/>
        </w:rPr>
        <w:t>
      1) сделка по покупке акций (депозитарных расписок, базовым активом которых являются акции) заключается по цене, не превышающей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обращается данный финансовый инструмент,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2) сделка по продаже акций (депозитарных расписок, базовым активом которых являются акции) заключается по цене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и (или)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При отсутствии от контрпартнера ценовых предложений по данному финансовому инструменту, сообщение контрпартнера об отсутствии котировок или отказе в котировании финансового инструмента включается в отчет (документ) о заключении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11. При приобретении за счет активов инвестиционного фонда principal protected notes расчеты осуществляются по принципу "поставка против платежа".</w:t>
      </w:r>
    </w:p>
    <w:bookmarkEnd w:id="43"/>
    <w:bookmarkStart w:name="z42" w:id="44"/>
    <w:p>
      <w:pPr>
        <w:spacing w:after="0"/>
        <w:ind w:left="0"/>
        <w:jc w:val="both"/>
      </w:pPr>
      <w:r>
        <w:rPr>
          <w:rFonts w:ascii="Times New Roman"/>
          <w:b w:val="false"/>
          <w:i w:val="false"/>
          <w:color w:val="000000"/>
          <w:sz w:val="28"/>
        </w:rPr>
        <w:t>
      12. Приобретение управляющей компанией имущества за счет активов инвестиционного фонда осуществляется путем оформления документов, устанавливающих право собственности инвестиционного фонда в отношении приобретаемого имущества.</w:t>
      </w:r>
    </w:p>
    <w:bookmarkEnd w:id="44"/>
    <w:bookmarkStart w:name="z43" w:id="45"/>
    <w:p>
      <w:pPr>
        <w:spacing w:after="0"/>
        <w:ind w:left="0"/>
        <w:jc w:val="both"/>
      </w:pPr>
      <w:r>
        <w:rPr>
          <w:rFonts w:ascii="Times New Roman"/>
          <w:b w:val="false"/>
          <w:i w:val="false"/>
          <w:color w:val="000000"/>
          <w:sz w:val="28"/>
        </w:rPr>
        <w:t>
      13. При возникновении обстоятельств, независящих от действий управляющей компании, повлекших несоответствие структуры активов инвестиционного фонда условиям, установленным настоящими Правилами и (или) инвестиционной декларацией, управляющая компания прекращает инвестиционную деятельность, связанную с таким несоответствием,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управляющей компании, ответственных за их исполнение, и сроков исполнения.</w:t>
      </w:r>
    </w:p>
    <w:bookmarkEnd w:id="45"/>
    <w:bookmarkStart w:name="z44" w:id="46"/>
    <w:p>
      <w:pPr>
        <w:spacing w:after="0"/>
        <w:ind w:left="0"/>
        <w:jc w:val="both"/>
      </w:pPr>
      <w:r>
        <w:rPr>
          <w:rFonts w:ascii="Times New Roman"/>
          <w:b w:val="false"/>
          <w:i w:val="false"/>
          <w:color w:val="000000"/>
          <w:sz w:val="28"/>
        </w:rPr>
        <w:t>
      Уполномоченный орган рассматривает план мероприятий в течение пяти рабочих дней. При одобрении плана мероприятий уполномоченным органом управляющая компания приступает к его реализации и представляет в уполномоченный орган отчеты о выполнении мероприятий не позднее пяти рабочих дней по истечению сроков исполнения мероприятий, установленных планом мероприятий. При получении замечаний уполномоченного органа к плану мероприятий управляющая компания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46" w:id="47"/>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47"/>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22.12.2023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3" w:id="48"/>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 и (или) допущенные к публичным торгам на фондовой бирже, функционирующей на территории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"kzВB-"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(Стандард энд Пурс)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акции эмитентов, имеющих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 и (или) акции эмитентов,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долговые ценные бумаги, имеющие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 и (или) долговые ценные бумаги,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инфраструктурные облигации организаций Республики Казахстан, включенные в официальный список фондовой биржи и (или) инфраструктурные облигации организаций Республики Казахстан,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и (или)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(Лондон биллион маркет асоциэйшн) и обозначенным в документах данной ассоциации как стандарт "Лондонская качественная поставка" ("London good delivery") ("Лондон гуд деливери")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(Стандард энд Пурс)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 Азиатским банком развития;</w:t>
            </w:r>
          </w:p>
          <w:p>
            <w:pPr>
              <w:spacing w:after="20"/>
              <w:ind w:left="20"/>
              <w:jc w:val="both"/>
            </w:pP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имеющие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p>
            <w:pPr>
              <w:spacing w:after="20"/>
              <w:ind w:left="20"/>
              <w:jc w:val="both"/>
            </w:pPr>
            <w:r>
              <w:rPr>
                <w:rFonts w:ascii="Times New Roman"/>
                <w:b w:val="false"/>
                <w:i w:val="false"/>
                <w:color w:val="000000"/>
                <w:sz w:val="20"/>
              </w:rPr>
              <w:t>акции, выпущенные иностранными организациями, имеющими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признаваемыми резидентами Республики Казахстан,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(Принципл протектед ноутс), выпущенные организациями, имеющими рейтинговую оценку не ниже "А-" по международной шкале агентства Standard &amp; Poor’s (Стандард энд Пурс)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условиями выпуска principal protected notes (принципл протектед ноутс)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AIX (Astana International Exchange) (Астана Интернейшнл Эксчейндж);</w:t>
            </w:r>
          </w:p>
          <w:p>
            <w:pPr>
              <w:spacing w:after="20"/>
              <w:ind w:left="20"/>
              <w:jc w:val="both"/>
            </w:pPr>
            <w:r>
              <w:rPr>
                <w:rFonts w:ascii="Times New Roman"/>
                <w:b w:val="false"/>
                <w:i w:val="false"/>
                <w:color w:val="000000"/>
                <w:sz w:val="20"/>
              </w:rPr>
              <w:t>САС 40 (Compagnie des Agents de Change 40 Index) (Компани дэ Эжон дэ Шанж 40 Индекс);</w:t>
            </w:r>
          </w:p>
          <w:p>
            <w:pPr>
              <w:spacing w:after="20"/>
              <w:ind w:left="20"/>
              <w:jc w:val="both"/>
            </w:pPr>
            <w:r>
              <w:rPr>
                <w:rFonts w:ascii="Times New Roman"/>
                <w:b w:val="false"/>
                <w:i w:val="false"/>
                <w:color w:val="000000"/>
                <w:sz w:val="20"/>
              </w:rPr>
              <w:t>DAX (Deutscher Aktienindex) (Дойтче Акциениндекс);</w:t>
            </w:r>
          </w:p>
          <w:p>
            <w:pPr>
              <w:spacing w:after="20"/>
              <w:ind w:left="20"/>
              <w:jc w:val="both"/>
            </w:pPr>
            <w:r>
              <w:rPr>
                <w:rFonts w:ascii="Times New Roman"/>
                <w:b w:val="false"/>
                <w:i w:val="false"/>
                <w:color w:val="000000"/>
                <w:sz w:val="20"/>
              </w:rPr>
              <w:t>DJIA (Dow Jones Industrial Average) (Доу Джонс Индастриал Эвередж);</w:t>
            </w:r>
          </w:p>
          <w:p>
            <w:pPr>
              <w:spacing w:after="20"/>
              <w:ind w:left="20"/>
              <w:jc w:val="both"/>
            </w:pPr>
            <w:r>
              <w:rPr>
                <w:rFonts w:ascii="Times New Roman"/>
                <w:b w:val="false"/>
                <w:i w:val="false"/>
                <w:color w:val="000000"/>
                <w:sz w:val="20"/>
              </w:rPr>
              <w:t>EURO STOXX 50 (EURO STOXX 50 Price Index) (Юроп Эс Ти Оу Экс Экс 50 Прайс Индекс);</w:t>
            </w:r>
          </w:p>
          <w:p>
            <w:pPr>
              <w:spacing w:after="20"/>
              <w:ind w:left="20"/>
              <w:jc w:val="both"/>
            </w:pPr>
            <w:r>
              <w:rPr>
                <w:rFonts w:ascii="Times New Roman"/>
                <w:b w:val="false"/>
                <w:i w:val="false"/>
                <w:color w:val="000000"/>
                <w:sz w:val="20"/>
              </w:rPr>
              <w:t>FTSE 100 (Financial Times Stock Exchange 100 Index) (Файнэншл Таймс Сток Эксчейндж 100 Индекс);</w:t>
            </w:r>
          </w:p>
          <w:p>
            <w:pPr>
              <w:spacing w:after="20"/>
              <w:ind w:left="20"/>
              <w:jc w:val="both"/>
            </w:pPr>
            <w:r>
              <w:rPr>
                <w:rFonts w:ascii="Times New Roman"/>
                <w:b w:val="false"/>
                <w:i w:val="false"/>
                <w:color w:val="000000"/>
                <w:sz w:val="20"/>
              </w:rPr>
              <w:t>HSI (Hang Seng Index) (Ханг Сенг Индекс);</w:t>
            </w:r>
          </w:p>
          <w:p>
            <w:pPr>
              <w:spacing w:after="20"/>
              <w:ind w:left="20"/>
              <w:jc w:val="both"/>
            </w:pPr>
            <w:r>
              <w:rPr>
                <w:rFonts w:ascii="Times New Roman"/>
                <w:b w:val="false"/>
                <w:i w:val="false"/>
                <w:color w:val="000000"/>
                <w:sz w:val="20"/>
              </w:rPr>
              <w:t>KASE (Kazakhstan Stock Exchange Index) (Казахстан Сток Эксчейндж Индекс);</w:t>
            </w:r>
          </w:p>
          <w:p>
            <w:pPr>
              <w:spacing w:after="20"/>
              <w:ind w:left="20"/>
              <w:jc w:val="both"/>
            </w:pPr>
            <w:r>
              <w:rPr>
                <w:rFonts w:ascii="Times New Roman"/>
                <w:b w:val="false"/>
                <w:i w:val="false"/>
                <w:color w:val="000000"/>
                <w:sz w:val="20"/>
              </w:rPr>
              <w:t>MSCI World Index (Morgan Stanley Capital International World Index) (Морган Стэнли Кэпитал Интернешнл Ворлд Индекс);</w:t>
            </w:r>
          </w:p>
          <w:p>
            <w:pPr>
              <w:spacing w:after="20"/>
              <w:ind w:left="20"/>
              <w:jc w:val="both"/>
            </w:pPr>
            <w:r>
              <w:rPr>
                <w:rFonts w:ascii="Times New Roman"/>
                <w:b w:val="false"/>
                <w:i w:val="false"/>
                <w:color w:val="000000"/>
                <w:sz w:val="20"/>
              </w:rPr>
              <w:t>MOEX Russia (Moscow Exchange Russia Index) (Москоу Эксчейндж Раша Индекс);</w:t>
            </w:r>
          </w:p>
          <w:p>
            <w:pPr>
              <w:spacing w:after="20"/>
              <w:ind w:left="20"/>
              <w:jc w:val="both"/>
            </w:pPr>
            <w:r>
              <w:rPr>
                <w:rFonts w:ascii="Times New Roman"/>
                <w:b w:val="false"/>
                <w:i w:val="false"/>
                <w:color w:val="000000"/>
                <w:sz w:val="20"/>
              </w:rPr>
              <w:t>NIKKEI 225 (Nikkei-225 Stock Average Index) (Никкэй-225 Сток Эвередж Индекс);</w:t>
            </w:r>
          </w:p>
          <w:p>
            <w:pPr>
              <w:spacing w:after="20"/>
              <w:ind w:left="20"/>
              <w:jc w:val="both"/>
            </w:pPr>
            <w:r>
              <w:rPr>
                <w:rFonts w:ascii="Times New Roman"/>
                <w:b w:val="false"/>
                <w:i w:val="false"/>
                <w:color w:val="000000"/>
                <w:sz w:val="20"/>
              </w:rPr>
              <w:t>RTSI (Russian Trade System Index) (Рашен Трейд Систем Индекс);</w:t>
            </w:r>
          </w:p>
          <w:p>
            <w:pPr>
              <w:spacing w:after="20"/>
              <w:ind w:left="20"/>
              <w:jc w:val="both"/>
            </w:pPr>
            <w:r>
              <w:rPr>
                <w:rFonts w:ascii="Times New Roman"/>
                <w:b w:val="false"/>
                <w:i w:val="false"/>
                <w:color w:val="000000"/>
                <w:sz w:val="20"/>
              </w:rPr>
              <w:t>S&amp;P 500 (Standard and Poor's 500 Index) (Стандард энд Пурс 500 Индекс);</w:t>
            </w:r>
          </w:p>
          <w:p>
            <w:pPr>
              <w:spacing w:after="20"/>
              <w:ind w:left="20"/>
              <w:jc w:val="both"/>
            </w:pPr>
            <w:r>
              <w:rPr>
                <w:rFonts w:ascii="Times New Roman"/>
                <w:b w:val="false"/>
                <w:i w:val="false"/>
                <w:color w:val="000000"/>
                <w:sz w:val="20"/>
              </w:rPr>
              <w:t>TOPIX 100 (Tokyo Stock Price 100 Index) (Токио Сток Прайс 100 Индекс);</w:t>
            </w:r>
          </w:p>
          <w:p>
            <w:pPr>
              <w:spacing w:after="20"/>
              <w:ind w:left="20"/>
              <w:jc w:val="both"/>
            </w:pPr>
            <w:r>
              <w:rPr>
                <w:rFonts w:ascii="Times New Roman"/>
                <w:b w:val="false"/>
                <w:i w:val="false"/>
                <w:color w:val="000000"/>
                <w:sz w:val="20"/>
              </w:rPr>
              <w:t>NASDAQ-100 (Nasdaq-100 Index) (Насдак-100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r>
    </w:tbl>
    <w:bookmarkStart w:name="z614" w:id="49"/>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(Стандард энд Пурс)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(Стандард энд Пурс)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Азиатским банком развития;</w:t>
            </w:r>
          </w:p>
          <w:p>
            <w:pPr>
              <w:spacing w:after="20"/>
              <w:ind w:left="20"/>
              <w:jc w:val="both"/>
            </w:pP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(Лондон биллион маркет асоциэйшн) и обозначенным в документах данной ассоциации как стандарт "Лондонская качественная поставка" ("London good delivery") ("Лондон гуд деливери")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(Стандард энд Пурс)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bookmarkStart w:name="z615" w:id="50"/>
    <w:p>
      <w:pPr>
        <w:spacing w:after="0"/>
        <w:ind w:left="0"/>
        <w:jc w:val="both"/>
      </w:pPr>
      <w:r>
        <w:rPr>
          <w:rFonts w:ascii="Times New Roman"/>
          <w:b w:val="false"/>
          <w:i w:val="false"/>
          <w:color w:val="000000"/>
          <w:sz w:val="28"/>
        </w:rPr>
        <w:t>
      3. Перечень финансовых инструментов, в которые управляющая компания инвестирует находящиеся в инвестиционном управлении активы каждого отдельного биржевого паевого инвестиционного фонда (Exchange Traded Fund) (ETF) (Эксчейндж Трэйдэд Фандс), и требования, предъявляемые к ним:</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 (Kazakhstan Stock Exchange) (Казахстан Сток Эксчейндж)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KZGB (Kazakhstan Government Bonds) (Казахстан Гавемент Бондс)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KASE_BM (Kazakhstan Stock Exchange Bond Market) (Казахстан Сток Эксчейндж Бонд Маркет)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TONIA (Tenge OverNight Index Average) (Тенге ОверНайт Индекс Эвередж)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международных фондовых бирж:</w:t>
            </w:r>
          </w:p>
          <w:p>
            <w:pPr>
              <w:spacing w:after="20"/>
              <w:ind w:left="20"/>
              <w:jc w:val="both"/>
            </w:pPr>
            <w:r>
              <w:rPr>
                <w:rFonts w:ascii="Times New Roman"/>
                <w:b w:val="false"/>
                <w:i w:val="false"/>
                <w:color w:val="000000"/>
                <w:sz w:val="20"/>
              </w:rPr>
              <w:t>САС 40 (Compagnie des Agents de Change 40 Index) (Компани дэ Эжон дэ Шанж 40 Индекс);</w:t>
            </w:r>
          </w:p>
          <w:p>
            <w:pPr>
              <w:spacing w:after="20"/>
              <w:ind w:left="20"/>
              <w:jc w:val="both"/>
            </w:pPr>
            <w:r>
              <w:rPr>
                <w:rFonts w:ascii="Times New Roman"/>
                <w:b w:val="false"/>
                <w:i w:val="false"/>
                <w:color w:val="000000"/>
                <w:sz w:val="20"/>
              </w:rPr>
              <w:t>DAX (Deutscher Aktienindex) (Дойтче Акциениндекс);</w:t>
            </w:r>
          </w:p>
          <w:p>
            <w:pPr>
              <w:spacing w:after="20"/>
              <w:ind w:left="20"/>
              <w:jc w:val="both"/>
            </w:pPr>
            <w:r>
              <w:rPr>
                <w:rFonts w:ascii="Times New Roman"/>
                <w:b w:val="false"/>
                <w:i w:val="false"/>
                <w:color w:val="000000"/>
                <w:sz w:val="20"/>
              </w:rPr>
              <w:t>DJIA (Dow Jones Industrial Average) (Доу Джонс Индастриал Эвередж);</w:t>
            </w:r>
          </w:p>
          <w:p>
            <w:pPr>
              <w:spacing w:after="20"/>
              <w:ind w:left="20"/>
              <w:jc w:val="both"/>
            </w:pPr>
            <w:r>
              <w:rPr>
                <w:rFonts w:ascii="Times New Roman"/>
                <w:b w:val="false"/>
                <w:i w:val="false"/>
                <w:color w:val="000000"/>
                <w:sz w:val="20"/>
              </w:rPr>
              <w:t>EURO STOXX 50 (EURO STOXX 50 Price Index) (Юроп Эс Ти Оу Экс Экс 50 Прайс Индекс);</w:t>
            </w:r>
          </w:p>
          <w:p>
            <w:pPr>
              <w:spacing w:after="20"/>
              <w:ind w:left="20"/>
              <w:jc w:val="both"/>
            </w:pPr>
            <w:r>
              <w:rPr>
                <w:rFonts w:ascii="Times New Roman"/>
                <w:b w:val="false"/>
                <w:i w:val="false"/>
                <w:color w:val="000000"/>
                <w:sz w:val="20"/>
              </w:rPr>
              <w:t>FTSE 100 (Financial Times Stock Exchange 100 Index) (Файнэншл Таймс Сток Эксчейндж 100 Индекс);</w:t>
            </w:r>
          </w:p>
          <w:p>
            <w:pPr>
              <w:spacing w:after="20"/>
              <w:ind w:left="20"/>
              <w:jc w:val="both"/>
            </w:pPr>
            <w:r>
              <w:rPr>
                <w:rFonts w:ascii="Times New Roman"/>
                <w:b w:val="false"/>
                <w:i w:val="false"/>
                <w:color w:val="000000"/>
                <w:sz w:val="20"/>
              </w:rPr>
              <w:t>HSI (Hang Seng Index) (Ханг Сенг Индекс);</w:t>
            </w:r>
          </w:p>
          <w:p>
            <w:pPr>
              <w:spacing w:after="20"/>
              <w:ind w:left="20"/>
              <w:jc w:val="both"/>
            </w:pPr>
            <w:r>
              <w:rPr>
                <w:rFonts w:ascii="Times New Roman"/>
                <w:b w:val="false"/>
                <w:i w:val="false"/>
                <w:color w:val="000000"/>
                <w:sz w:val="20"/>
              </w:rPr>
              <w:t>MSCI World Index (Morgan Stanley Capital International World Index) (Морган Стэнли Кэпитал Интернешнл Ворлд Индекс);</w:t>
            </w:r>
          </w:p>
          <w:p>
            <w:pPr>
              <w:spacing w:after="20"/>
              <w:ind w:left="20"/>
              <w:jc w:val="both"/>
            </w:pPr>
            <w:r>
              <w:rPr>
                <w:rFonts w:ascii="Times New Roman"/>
                <w:b w:val="false"/>
                <w:i w:val="false"/>
                <w:color w:val="000000"/>
                <w:sz w:val="20"/>
              </w:rPr>
              <w:t>MOEX Russia (Moscow Exchange Russia Index) (Москоу Эксчейндж Раша Индекс);</w:t>
            </w:r>
          </w:p>
          <w:p>
            <w:pPr>
              <w:spacing w:after="20"/>
              <w:ind w:left="20"/>
              <w:jc w:val="both"/>
            </w:pPr>
            <w:r>
              <w:rPr>
                <w:rFonts w:ascii="Times New Roman"/>
                <w:b w:val="false"/>
                <w:i w:val="false"/>
                <w:color w:val="000000"/>
                <w:sz w:val="20"/>
              </w:rPr>
              <w:t>NIKKEI 225 (Nikkei-225 Stock Average Index) (Никкэй-225 Сток Эвередж Индекс);</w:t>
            </w:r>
          </w:p>
          <w:p>
            <w:pPr>
              <w:spacing w:after="20"/>
              <w:ind w:left="20"/>
              <w:jc w:val="both"/>
            </w:pPr>
            <w:r>
              <w:rPr>
                <w:rFonts w:ascii="Times New Roman"/>
                <w:b w:val="false"/>
                <w:i w:val="false"/>
                <w:color w:val="000000"/>
                <w:sz w:val="20"/>
              </w:rPr>
              <w:t>RTSI (Russian Trade System Index) (Рашен Трейд Систем Индекс);</w:t>
            </w:r>
          </w:p>
          <w:p>
            <w:pPr>
              <w:spacing w:after="20"/>
              <w:ind w:left="20"/>
              <w:jc w:val="both"/>
            </w:pPr>
            <w:r>
              <w:rPr>
                <w:rFonts w:ascii="Times New Roman"/>
                <w:b w:val="false"/>
                <w:i w:val="false"/>
                <w:color w:val="000000"/>
                <w:sz w:val="20"/>
              </w:rPr>
              <w:t>S&amp;P 500 (Standard and Poor's 500 Index) (Стандард энд Пурс 500 Индекс);</w:t>
            </w:r>
          </w:p>
          <w:p>
            <w:pPr>
              <w:spacing w:after="20"/>
              <w:ind w:left="20"/>
              <w:jc w:val="both"/>
            </w:pPr>
            <w:r>
              <w:rPr>
                <w:rFonts w:ascii="Times New Roman"/>
                <w:b w:val="false"/>
                <w:i w:val="false"/>
                <w:color w:val="000000"/>
                <w:sz w:val="20"/>
              </w:rPr>
              <w:t>TOPIX 100 (Tokyo Stock Price 100 Index) (Токио Сток Прайс 100 Индекс);</w:t>
            </w:r>
          </w:p>
          <w:p>
            <w:pPr>
              <w:spacing w:after="20"/>
              <w:ind w:left="20"/>
              <w:jc w:val="both"/>
            </w:pPr>
            <w:r>
              <w:rPr>
                <w:rFonts w:ascii="Times New Roman"/>
                <w:b w:val="false"/>
                <w:i w:val="false"/>
                <w:color w:val="000000"/>
                <w:sz w:val="20"/>
              </w:rPr>
              <w:t>NASDAQ-100 (Nasdaq-100 Index) (Насдак-100 Индекс)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