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6967" w14:textId="5c26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организациями, обладающими лицензиями на осуществление деятельности по ведению системы реестров держателей ценных бумаг, единому регистратору сведений и документов, составляющих системы реестров держателей ценных бумаг эмитентов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53. Зарегистрировано в Министерстве юстиции Республики Казахстан 16 апреля 2012 года № 7576. Утратило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организациями, обладающими лицензиями на осуществление деятельности по ведению системы реестров держателей ценных бумаг, единому регистратору сведений и документов, составляющих системы реестров держателей ценных бумаг эмитентов (далее -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Акционерному обществу "Единый регистратор ценных бумаг":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 позднее тридцати календарных дней с даты введения в действие настоящего постановления привести свои внутренние документы в соответствие с требованиями настоящего постановления и представить их на согласование в Комитет по контролю и надзору финансового рынка и финансовых организаций Национального Банка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позднее шестидесяти календарных дней с даты введения в действие настоящего постановления представить в Комитет по контролю и надзору финансового рынка и финансовых организаций Национального Банка Республики Казахстан график приема-передачи единому регистратору организациями, обладающими лицензиями на осуществление деятельности по ведению системы реестров держателей ценных бумаг, сведений и документов, составляющих системы реестров держателей ценных бумаг эмитентов (далее - График), составленный в соответствии с требованиями Правил.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Акционерному обществу "Единый регистратор ценных бумаг" и Регистраторам: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выполнение мероприятий, предусмотренных Графиком;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позднее трех рабочих дней по истечении предусмотренного Графиком срока передачи сведений и документов, составляющих системы реестров держателей ценных бумаг эмитентов, представить отчет о реализации мероприятий, предусмотренных Графиком, в Комитет по контролю и надзору финансового рынка и финансовых организаций Национального Банка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</w:t>
      </w:r>
      <w:r>
        <w:rPr>
          <w:rFonts w:ascii="Times New Roman"/>
          <w:b w:val="false"/>
          <w:i/>
          <w:color w:val="000000"/>
          <w:sz w:val="28"/>
        </w:rPr>
        <w:t>редседатель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53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организациями, обладающими лицензиями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ведению системы реестров держателей ценных</w:t>
      </w:r>
      <w:r>
        <w:br/>
      </w:r>
      <w:r>
        <w:rPr>
          <w:rFonts w:ascii="Times New Roman"/>
          <w:b/>
          <w:i w:val="false"/>
          <w:color w:val="000000"/>
        </w:rPr>
        <w:t>бумаг, единому регистратору сведений и документов,</w:t>
      </w:r>
      <w:r>
        <w:br/>
      </w:r>
      <w:r>
        <w:rPr>
          <w:rFonts w:ascii="Times New Roman"/>
          <w:b/>
          <w:i w:val="false"/>
          <w:color w:val="000000"/>
        </w:rPr>
        <w:t>составляющих системы реестров держателей ценных бумаг эмитентов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передачи организациями, обладающими лицензиями на осуществление деятельности по ведению системы реестров держателей ценных бумаг, единому регистратору сведений и документов, составляющих системы реестров держателей ценных бумаг эмитентов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законодательные акты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вопросам регулирования банковской деятельности и финансовых организаций в части минимизации рисков" и устанавливают порядок передачи единому регистратору сведений и документов, составляющих системы реестров держателей ценных бумаг эмитентов.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Для целей настоящих Правил используются следующие понятия: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единый регистратор - специализированная некоммерческая организация, созданная в организационно-правовой форме акционерного общества, более пятидесяти процентов голосующих акций которой принадлежат Национальному Банку Республики Казахстан, осуществляющая деятельность по ведению системы реестров держателей ценных бумаг;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свод правил единого регистратора - внутренний документ единого регистратора, определяющий взаимоотношения единого регистратора с субъектами рынка ценных бумаг, утвержденный советом директоров единого регистратора и согласованный с Комитетом по контролю и надзору финансового рынка и финансовых организаций Национального Банка Республики Казахстан (далее - уполномоченный орган);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свод правил центрального депозитария - внутренний документ центрального депозитария, определяющий взаимоотношения центрального депозитария с субъектами рынка ценных бумаг, утвержденный советом директоров центрального депозитария и согласованный с уполномоченным органом;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регистратор - профессиональный участник рынка ценных бумаг, осуществляющий формирование, хранение и ведение системы реестров держателей ценных бумаг на основании лицензии на осуществление деятельности по ведению системы реестров держателей ценных бумаг;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эмитент - лицо, осуществляющее выпуск эмиссионных ценных бумаг, заключившее договор с регистратором на ведение системы реестров держателей ценных бумаг, а также лицо, заключившее договор с регистратором на ведение реестра участников хозяйственного товарищества или на ведение системы реестров держателей паев паевого инвестиционного фонда;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сведения и документы, составляющие систему реестров держателей ценных бумаг эмитента - все имеющиеся у регистратора сведения и документы, перечень которых предусмотрен пунктами 5, 6, 7, 8, 63 и 67 Инструкции по ведению системы реестров держателей ценных бумаг,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62 (зарегистрированных в Реестре государственной регистрации нормативных правовых актов под № 4175) (далее - Инструкция № 62), на бумажных и электронных носителях, срок хранения которых не истек.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Передача сведений и документов, составляющих системы реестров держателей ценных бумаг эмитентов, ведение которых осуществляется регистраторами, производится в порядке, установленном настоящими Правилами и сводом правил единого регистратора, в соответствии с Графиком приема–передачи сведений и документов, утвержденным единым регистратором и согласованным с уполномоченным органом (далее – График).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Единый регистратор не позднее пятнадцати календарных дней с даты введения в действие настоящих Правил направляет запросы регистраторам о представлении информации, необходимой для составления Графика. Форма и содержание запроса единого регистратора определяется сводом правил единого регистратора.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Регистраторы не позднее тридцати календарных дней с даты получения запроса единого регистратора направляют единому регистратору информацию, необходимую для составления Графика.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График составляется единым регистратором по форме, предусмотренной сводом правил единого регистратора, и содержит информацию о (об):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датах его утверждения и согласования с уполномоченным органом;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наименовании регистраторов, передающих единому регистратору сведения и документы, составляющие систему реестров держателей ценных бумаг эмитентов;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датах выдачи и номерах лицензий регистраторов на осуществление деятельности по ведению системы реестров держателей ценных бумаг;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датах начала и окончания сроков передачи регистраторами единому регистратору сведений и документов, составляющих системы реестров держателей ценных бумаг эмитентов;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фамилии (фамилиях), имени (именах), при наличии отчества (отчествах), реквизитах удостоверения (удостоверений) личности и занимаемой (занимаемых) должности (должностях) руководящего работника (руководящих работников) регистратора, уполномоченного (уполномоченных) регистратором осуществлять все необходимые действия, связанные с расторжением договоров с эмитентами и передачей сведений и документов, составляющих системы реестров держателей ценных бумаг эмитентов, единому регистратору;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датах заключения регистраторами договоров с эмитентами, сведения и документы, которых передаются единому регистратору;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полном официальном наименовании эмитентов, сведения и документы, которых передаются единому регистратору, видах и национальных идентификационных номерах ценных бумаг указанных эмитентов, ведение системы реестров которых осуществлялось регистраторами.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дополнительной информации, включаемой в График, определяется сводом правил единого регистратора.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График подписывается первым руководителем единого регистратора, заверяется оттиском печати единого регистратора и, после его утверждения, направляется в адрес уполномоченного органа для согласования.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рассматривает График в течение десяти рабочих дней с даты его получения. При согласовании уполномоченным органом Графика единый регистратор и регистраторы приступают к его реализации, при получении замечаний уполномоченного органа единый регистратор представляет в уполномоченный орган откорректированный График не позднее пяти рабочих дней с даты получения письма уполномоченного органа о результатах рассмотрения Графика.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Единый регистратор и регистраторы обеспечивают выполнение организационных и технологических условий для обеспечения передачи на бумажном и электронном носителях сведений и документов, составляющих системы реестров держателей ценных бумаг эмитентов, от регистраторов единому регистратору в срок не позднее десяти рабочих дней до даты начала срока передачи регистратором единому регистратору сведений и документов, составляющих системы реестров держателей ценных бумаг эмитентов.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целях своевременного исполнения мероприятий по передаче регистратором единому регистратору сведений и документов, составляющих систему реестров держателей ценных бумаг эмитента, расторжение договора, заключенного регистратором с эмитентом, осуществляется до даты начала срока передачи регистратором единому регистратору сведений и документов, составляющих систему реестров держателей ценных бумаг эмитента, но не ранее, чем за семь календарных дней до указанной даты.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по истечении тридцати календарных дней с даты направления регистратором уведомления эмитенту о необходимости расторжения договора с регистратором по причине передачи сведений и документов, составляющих систему реестров держателей ценных бумаг данного эмитента, единому регистратору, эмитент не сообщает регистратору о готовности расторгнуть договор, регистратор расторгает договор в одностороннем порядке и осуществляет передачу сведений и документов, составляющих систему реестров держателей ценных бумаг эмитента, единому регистратору в сроки, предусмотренные Графиком приема–передачи сведений и документов.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Не позднее трех рабочих дней до даты начала срока передачи регистратором единому регистратору сведений и документов, составляющих системы реестров держателей ценных бумаг эмитентов, регистраторы проводят предварительную сверку данных собственного учета количества эмиссионных ценных бумаг, находящихся на лицевых счетах, открытых в системе реестров, с данными единой системы лицевых счетов, ведение которой осуществляется центральным депозитарием.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Сверка осуществляется по состоянию на последний рабочий день, предшествующий дате проведения сверки, в порядке, предусмотренном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главой 5 Инструкции № 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Передача сведений и документов, составляющих системы реестров держателей ценных бумаг эмитентов, осуществляется регистратором единому регистратору на бумажном и электронном носителях на основании: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акта приема – передачи, подписанного первыми руководителями регистратора и единого регистратора, заверенными их печатями;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акта сверки данных собственного учета количества эмиссионных ценных бумаг, находящихся на лицевых счетах, открытых в системе реестров, с данными единой системы лицевых счетов, ведение которой осуществляется центральным депозитарием, составленного на дату расторжения договора, заключенного между регистратором и эмитентом, подписанного первыми руководителями регистратора и центрального депозитария, заверенными их печатями.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Если по результатам сверки, осуществляемой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Правил, данные системы реестров держателей ценных бумаг не соответствуют данным единой системы лицевых счетов, уполномоченные представители сторон, осуществляющих сверку, подтверждают несоответствие данных путем подписания акта несоответствия, в котором указывается подробная причина несоответствия.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оформления акта несоответствия стороны, осуществлявшие сверку, в течение одного рабочего дня с даты составления акта несоответствия уведомляют об этом уполномоченный орган.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подтверждения несоответствия данных системы реестров держателей ценных бумаг данным единой системы лицевых счетов единый регистратор формирует систему реестров держателей ценных бумаг, руководствуясь данными единой системы лицевых счетов.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Содержание и порядок оформления актов приема – передачи сведений и документов, составляющих системы реестров держателей ценных бумаг эмитентов, между регистраторами и единым регистратором определяются сводом правил единого регистратора.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Содержание и порядок оформления актов сверки между регистраторами и центральным депозитарием определяются сводом правил центрального депозитария.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Дата подписания сторонами акта приема – передачи сведений и документов, составляющих системы реестров держателей ценных бумаг эмитентов, является датой окончания передачи указанных сведений и документов единому регистратору.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Регистраторы передают единому регистратору на бумажных носителях следующие документы, составляющие систему реестров держателей ценных бумаг эмитентов, срок хранения которых не истек на дату их передачи единому регистратору (срок исчисляется с даты, когда держатель ценных бумаг перестал быть таковым или с даты расторжения договора, заключенного между регистратором и эмитентом):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приказы на проведение операций;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отчеты об исполнении приказов (при наличии);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отказы от исполнения приказов;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документы, на основании которых проводились операции в системе реестров;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документы, полученные регистратором от эмитента (прежнего регистратора) и направленные регистратором эмитенту при заключении договора с эмитентом, а также в период действия договора с эмитентом;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журнал регистрации операций;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журнал регистрации входящих документов;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журнал учета приказов эмитентов и зарегистрированных лиц;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журнал учета доверенностей;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журнал регистрации исходящих документов;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журнал ведения архива;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исходный реестр держателей ценных бумаг, полученный регистратором от прежнего регистратора или эмитента, и реестры держателей ценных бумаг, составленные прежними регистраторами на дату расторжения договоров с эмитентом (в случае, если данные документы были переданы на бумажном носителе);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реестр держателей ценных бумаг, сформированный регистратором на дату расторжения договора с эмитентом;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документы, предоставление которых на бумажных носителях установлено сводом правил единого регистратора.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Документы, указанные в подпунктах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пункта 14 настоящих Правил, которые были получены регистратором в период действия договора с эмитентом в оригиналах, передаются единому регистратору в оригиналах.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Передаваемые единому регистратору документы на бумажном носителе прошнуровываются, пронумеровываются и скрепляются на последнем листе бумажной пломбой, на которой ставится оттиск печати, часть которой должна быть на бумажной пломбе, а часть – на листе, подписанной первым руководителем или уполномоченным должностным лицом регистратора.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Формат и способ передачи регистраторами сведений, составляющих системы реестров держателей ценных бумаг эмитентов, единому регистратору на электронных носителях, а также требования к электронным носителям определяются сводом правил единого регистратора.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Единый регистратор уведомляет уполномоченный орган обо всех случаях нарушения порядка и сроков приема – передачи сведений и документов, составляющих системы реестров держателей ценных бумаг эмитентов, предусмотренных настоящими Правилами и сводом правил единого регистратора, не позднее рабочего дня, следующего за днем выявления единым регистратором нарушения.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Допускается принятие единым регистратором сведений и документов, составляющих систему реестров держателей ценных бумаг эмитента, без заключения договора между единым регистратором и эмитентом в период приема-передачи указанных сведений и документов, определенный Графиком.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Единый регистратор осуществляет действия по формированию системы реестров держателей ценных бумаг эмитента на основании сведений и документов, представленных регистратором и (или) центральным депозитарием в порядке, установленном Инструкцией № 62.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в редакции постановления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После даты окончания передачи регистратором сведений и документов, составляющих системы реестров держателей ценных бумаг эмитентов, единому регистратору, регистратор не осуществляет деятельность по ведению системы реестров держателей ценных бумаг.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Руководящие работники регистраторов и единого регистратора обеспечивают выполнение сроков приема–передачи сведений и документов, составляющих системы реестров держателей ценных бумаг эмитентов, предусмотренных Графиком, а также сохранность указанных сведений и документов в процессе их приема–передачи от регистраторов единому регистратору.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