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5206" w14:textId="41e5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26 ноября 2009 года № 801 "Об утверждении Методики формирования тарифов и планирования затрат на медицинские услуги, оказываемые в рамках гарантированного объема бесплатной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апреля 2012 года № 226. Зарегистрирован в Министерстве юстиции Республики Казахстан 14 мая 2012 года № 7649. Утратил силу приказом Министра здравоохранения Республики Казахстан от 21 декабря 2020 года № ҚР ДСМ-309/2020.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ноября 2009 года № 801 "Об утверждении Методики формирования тарифов и планирования затрат на медицинские услуги, оказываемые в рамках гарантированного объема бесплатной медицинской помощи" (зарегистрированный в Реестре государственной регистрации нормативных правовых актов за № 5946, опубликованный в Собрании актов центральных исполнительных и иных центральных государственных органов Республики Казахстан № 7, 2010 года; Бюллетене нормативных правовых актов центральных исполнительных и иных государственных органов Республики Казахстан, 2010 г., № 9, ст. 384)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 и планирования затрат на медицинские услуги, оказываемые в рамках гарантированного объема бесплатной медицинской помощи,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и государственных закупок Министерства здравоохранения Республики Казахстан (Амиргалиев Е.Р.)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 после его государственной регистрации.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Курмангалиеву А. Д.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2012 года №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2009 года № 801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формирования тарифов и планирования затрат на</w:t>
      </w:r>
      <w:r>
        <w:br/>
      </w:r>
      <w:r>
        <w:rPr>
          <w:rFonts w:ascii="Times New Roman"/>
          <w:b/>
          <w:i w:val="false"/>
          <w:color w:val="000000"/>
        </w:rPr>
        <w:t>медицинские услуги, оказываемые в рамках гарантированного</w:t>
      </w:r>
      <w:r>
        <w:br/>
      </w:r>
      <w:r>
        <w:rPr>
          <w:rFonts w:ascii="Times New Roman"/>
          <w:b/>
          <w:i w:val="false"/>
          <w:color w:val="000000"/>
        </w:rPr>
        <w:t>объема бесплатной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1. Основные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формирования тарифов и планирования затрат на медицинские услуги, оказываемые в рамках гарантированного объема бесплатной медицинской помощи (далее – Методика),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является единой для медицинских организаций Республики Казахстан, оказывающих медицинские услуги в рамках гарантированного объема бесплатной медицинской помощи (далее – ГОБМП).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определяет механизм формирования тарифов на медицинские услуги, оказываемые в рамках ГОБМП, по следующим формам медицинской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первичной медико-санитарной помощи (далее – ПМСП);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стационарозамещающей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авиации.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возмещения затрат медицинских организаций определен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2009 года № 2030 "Правила возмещения затрат организациям здравоохранения за счет бюджетных средств".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подушевой тариф амбулаторно-поликлинической помощи – стоимость комплекса медицинских услуг в расчете на одного жителя, включающая подушевой норматив первичной медико-санитарной помощи и тариф консультативно-диагностической помощи в организациях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выравнивания территориальных участков – коэффициент, учитывающий различия в количестве используемых индикаторов при оценке достигнутых результатов работы организаций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базовая ставка – одна расчетная единица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базовой ставки – стоимость одной расчетной единицы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базовый тариф – стоимость единицы медицинской услуги для медицинской организации, оказывающей специализированную и (или) высокоспециализированную медицинскую помощь в форме консультативно-диагностической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пролеченный случай – комплекс медицинских услуг, оказанных пациенту в стационарных и стационарозамещающих условиях с момента поступления до выписки;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подушевой норматив – норма затрат в расчете на одного человека для обеспечения конкретным объемом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дополнительный (стимулирующий) компонент подушевого норматива - стимулирующая составляющая к тарифу ПМСП, учитывающая результаты качества оказываемой медицинской помощи организации первичной медико-санитарной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половозрастной поправочный коэффициент – коэффициент, учитывающий различия в уровне потребления медицинской помощи разными половозрастными категориями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весовой коэффициент индикатора – (далее – ВК) – коэффициент, установленный для определенного индикатора;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клинико-затратные группы (далее – КЗГ) – клинически однородные группы заболеваний, сходные по затратам на их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коммунальные и прочие расходы (далее – КПР) – расходы на отопление, электроэнергию, горячую и холодную воду, повышение квалификации и переподготовку кадров, банковские услуги, услуги связи, приобретение канцелярских товаров, командировочные расходы, текущий ремонт, аренду помещения для размещения стационара, приобретение хозяйственных товаров, мягкого инвентаря и прочих товаров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региональные тарифы на коммунальные и прочие расходы – средняя стоимость коммунальных и прочих расходов группы регионов, сгруппированных по климатическим условиям, а также географическим местоположением;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медико-экономический тариф – средняя стоимость за один пролеченный случай, формируемая на основе протоколов диагностики и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комплексный тариф на одного онкологического больного – стоимость комплекса медицинских услуг в расчете на одного онкологического больного, зарегистрированного в онкологическом регистре;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коэффициент уровня стационара – это коэффициент, устанавливаемый администратором бюджетных программ, позволяющий учесть особенности условий для оказания медицинских услуг, а также исторически сложившиеся большие или меньшие расходы конкретного стационара;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тариф – стоимость единицы медицинской услуги (помощи), оказанной в организации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койко-день – день, проведенный больным в условиях стационара;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поправочный коэффициент – коэффициент, применяемый администраторами бюджетных программ с целью увеличения или уменьшения базового тарифа с учетом значимых отличительных особенностей организации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коэффициент затратоемкости – соотношение стоимости одной медицинской услуги (группировки услуг) к базовому тарифу (стоимости базовой ставки).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бюджетных программ утверждает тарифы, стоимость базовой ставки, базовый тариф, поправочные коэффициенты.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Планирование затрат на медицинские услуги, оказываемые в</w:t>
      </w:r>
      <w:r>
        <w:br/>
      </w:r>
      <w:r>
        <w:rPr>
          <w:rFonts w:ascii="Times New Roman"/>
          <w:b/>
          <w:i w:val="false"/>
          <w:color w:val="000000"/>
        </w:rPr>
        <w:t>рамках 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Планирование затрат на оказание медицинских услуг в рамках ГОБМП по видам медицинской помощи осуществляется администратором бюджетных программ на основании утвержденных действующих нормативов расходов, а также анализа и оценки деятельности системы здравоохранения в целом и медицинских организаций по следующим показателям: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медицинской помощи по видам (за трехлетний период) в целом по региону и по каждой медицинской организации в отдельности;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койко-дней в стационаре, средняя продолжительность пребывания на койке, работа койки в разрезе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работающего персонала, уровень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приобретение лекарственных средств, изделий медицинского назначения и расходных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питание;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оснащенность оборудованием и их эффективное использование, обеспеченность мягким инвентарем и прочее;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зданий и сооружений, необходимость в проведении их текущего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обеспеченность площадями, наличие неиспользованной площади;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расходы: отопление, электроэнергия, горячая и холодная 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расходы: затраты на повышение квалификации и переподготовку кадров организации здравоохранения, оплата банковских услуг, услуг связи, приобретение канцелярских товаров, командировочные расходы, проведение текущего ремонта, аренда помещения для размещения стационара, приобретение хозяйственных товаров, мягкого инвентаря и прочих товаров 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основу анализа должны быть положены данные медицинской статистики, данные информационных систем, а также данные финансовых отчетов медицинских организаций, сведения, получаемые из органов статистики и финансовых органов.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Формирование тарифов на медицинские услуги, оказываемые в</w:t>
      </w:r>
      <w:r>
        <w:br/>
      </w:r>
      <w:r>
        <w:rPr>
          <w:rFonts w:ascii="Times New Roman"/>
          <w:b/>
          <w:i w:val="false"/>
          <w:color w:val="000000"/>
        </w:rPr>
        <w:t>рамках 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Расходы на медицинские услуги подразделяются на основные медицинские расходы и дополнительные медицинские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медицинские расходы включают заработную плату работников организации здравоохранения, дополнительные денежные выплаты в соответствии с Трудовым кодексом РК; социальные отчисления в соответствии с Налоговым кодексом РК, приобретение лекарственных средств и изделий медицинского назначения и расходных материалов, приобретение продуктов питания для пациентов.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Заработная плата работников организации здравоохранения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денежные выплаты включают в себя выплату пособия на оздоровление в размере должностного оклада к ежегодному трудовому отпуску гражданских служащих в соответствии с Трудовым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отчисления включают в себя уплату социального налога и отчисления в Государственный фонд социального страхования в соответствии с Налоговым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лекарственных средств, изделий медицинского назначения и расходных материалов определяется в соответствии с лекарственными формулярами.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продуктов питания для пациентов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включают коммунальные и прочие расходы: отопление, электроэнергия, горячая и холодная вода, затраты на повышение квалификации и переподготовку кадров организаций здравоохранения, оплата банковских услуг, услуг связи, приобретение канцелярских товаров, командировочные расходы, проведение текущего ремонта, аренда помещения для размещения стационара, приобретение хозяйственных товаров, мягкого инвентаря и прочих товаров и услуг.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 Амбулаторно-поликлиническая помощь</w:t>
      </w:r>
      <w:r>
        <w:br/>
      </w:r>
      <w:r>
        <w:rPr>
          <w:rFonts w:ascii="Times New Roman"/>
          <w:b/>
          <w:i w:val="false"/>
          <w:color w:val="000000"/>
        </w:rPr>
        <w:t>3.1.1. Первичная медико-санитарная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организаций, оказывающих ПМСП и имеющих прикрепленное население, тарифом является двухкомпонентный подушевой норматив.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Двухкомпонентный подушевой норматив состоит из: подушевого норматива и дополнительного (стимулирующего) компонента (далее – СКПН).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Объем финансирования организации ПМСП определяется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фин мо</w:t>
      </w:r>
      <w:r>
        <w:rPr>
          <w:rFonts w:ascii="Times New Roman"/>
          <w:b w:val="false"/>
          <w:i w:val="false"/>
          <w:color w:val="000000"/>
          <w:sz w:val="28"/>
        </w:rPr>
        <w:t xml:space="preserve"> = (П</w:t>
      </w:r>
      <w:r>
        <w:rPr>
          <w:rFonts w:ascii="Times New Roman"/>
          <w:b w:val="false"/>
          <w:i w:val="false"/>
          <w:color w:val="000000"/>
          <w:vertAlign w:val="subscript"/>
        </w:rPr>
        <w:t>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х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(К</w:t>
      </w:r>
      <w:r>
        <w:rPr>
          <w:rFonts w:ascii="Times New Roman"/>
          <w:b w:val="false"/>
          <w:i w:val="false"/>
          <w:color w:val="000000"/>
          <w:vertAlign w:val="subscript"/>
        </w:rPr>
        <w:t>нас (n)</w:t>
      </w:r>
      <w:r>
        <w:rPr>
          <w:rFonts w:ascii="Times New Roman"/>
          <w:b w:val="false"/>
          <w:i w:val="false"/>
          <w:color w:val="000000"/>
          <w:sz w:val="28"/>
        </w:rPr>
        <w:t xml:space="preserve"> х П</w:t>
      </w:r>
      <w:r>
        <w:rPr>
          <w:rFonts w:ascii="Times New Roman"/>
          <w:b w:val="false"/>
          <w:i w:val="false"/>
          <w:color w:val="000000"/>
          <w:vertAlign w:val="subscript"/>
        </w:rPr>
        <w:t>коэф(n)</w:t>
      </w:r>
      <w:r>
        <w:rPr>
          <w:rFonts w:ascii="Times New Roman"/>
          <w:b w:val="false"/>
          <w:i w:val="false"/>
          <w:color w:val="000000"/>
          <w:sz w:val="28"/>
        </w:rPr>
        <w:t>) х К</w:t>
      </w:r>
      <w:r>
        <w:rPr>
          <w:rFonts w:ascii="Times New Roman"/>
          <w:b w:val="false"/>
          <w:i w:val="false"/>
          <w:color w:val="000000"/>
          <w:vertAlign w:val="subscript"/>
        </w:rPr>
        <w:t>попр</w:t>
      </w:r>
      <w:r>
        <w:rPr>
          <w:rFonts w:ascii="Times New Roman"/>
          <w:b w:val="false"/>
          <w:i w:val="false"/>
          <w:color w:val="000000"/>
          <w:sz w:val="28"/>
        </w:rPr>
        <w:t>) + СКПН,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фин мо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финансирования организации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нас(n)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прикрепленного населения входящего в половозрастную группу номер 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коэф (n)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половозрастной поправочный коэффициент потребления ПМСП населением половозрастной группы номер 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попр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СКПН – дополнительный (стимулирующий) компонент подушевого норматива.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организаций ПМСП по подушевому нормативу не зависит от объема оказанных услуг или других результатов работы организации ПМСП.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Подушевой норматив определяется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 </w:t>
      </w:r>
      <w:r>
        <w:rPr>
          <w:rFonts w:ascii="Times New Roman"/>
          <w:b w:val="false"/>
          <w:i w:val="false"/>
          <w:color w:val="000000"/>
          <w:vertAlign w:val="subscript"/>
        </w:rPr>
        <w:t>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= О</w:t>
      </w:r>
      <w:r>
        <w:rPr>
          <w:rFonts w:ascii="Times New Roman"/>
          <w:b w:val="false"/>
          <w:i w:val="false"/>
          <w:color w:val="000000"/>
          <w:vertAlign w:val="subscript"/>
        </w:rPr>
        <w:t>фин пмсп</w:t>
      </w:r>
      <w:r>
        <w:rPr>
          <w:rFonts w:ascii="Times New Roman"/>
          <w:b w:val="false"/>
          <w:i w:val="false"/>
          <w:color w:val="000000"/>
          <w:sz w:val="28"/>
        </w:rPr>
        <w:t xml:space="preserve"> /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(К</w:t>
      </w:r>
      <w:r>
        <w:rPr>
          <w:rFonts w:ascii="Times New Roman"/>
          <w:b w:val="false"/>
          <w:i w:val="false"/>
          <w:color w:val="000000"/>
          <w:vertAlign w:val="subscript"/>
        </w:rPr>
        <w:t>нас(n)</w:t>
      </w:r>
      <w:r>
        <w:rPr>
          <w:rFonts w:ascii="Times New Roman"/>
          <w:b w:val="false"/>
          <w:i w:val="false"/>
          <w:color w:val="000000"/>
          <w:sz w:val="28"/>
        </w:rPr>
        <w:t xml:space="preserve"> П</w:t>
      </w:r>
      <w:r>
        <w:rPr>
          <w:rFonts w:ascii="Times New Roman"/>
          <w:b w:val="false"/>
          <w:i w:val="false"/>
          <w:color w:val="000000"/>
          <w:vertAlign w:val="subscript"/>
        </w:rPr>
        <w:t>коэф(n)</w:t>
      </w:r>
      <w:r>
        <w:rPr>
          <w:rFonts w:ascii="Times New Roman"/>
          <w:b w:val="false"/>
          <w:i w:val="false"/>
          <w:color w:val="000000"/>
          <w:sz w:val="28"/>
        </w:rPr>
        <w:t>х К</w:t>
      </w:r>
      <w:r>
        <w:rPr>
          <w:rFonts w:ascii="Times New Roman"/>
          <w:b w:val="false"/>
          <w:i w:val="false"/>
          <w:color w:val="000000"/>
          <w:vertAlign w:val="subscript"/>
        </w:rPr>
        <w:t>попр</w:t>
      </w:r>
      <w:r>
        <w:rPr>
          <w:rFonts w:ascii="Times New Roman"/>
          <w:b w:val="false"/>
          <w:i w:val="false"/>
          <w:color w:val="000000"/>
          <w:sz w:val="28"/>
        </w:rPr>
        <w:t>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фин пмсп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финансирования на обеспечение населения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нас(n)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прикрепленного населения, входящего в половозрастную группу номер 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коэф(n)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половозрастной поправочный коэффициент потребления ПМСП населением половозрастной группы номер 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попр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подушевого норматива учитываются затраты ПМСП на обеспечение лечебной, диагностической и профилактической деятельности, которые зависят 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количества прикрепленного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половозрастные поправочные коэффициенты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Подушевой норматив может увеличиваться или уменьшаться администратором бюджетных программ с учетом географической протяженности участка обслуживания, низкой плотности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Дополнительный (стимулирующий) компонент подушевого норматива направлен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материальное поощрение работников ПМСП за достигнутые конечные результаты;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квалификации и обучение работников организации ПМСП, в том числе профильных специалистов, деятельность которых влияет на достижение конечных результатов работы организаций ПМСП, включая командировочные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Расчет суммы СКПН для организации ПМСП осуществляется на основе индикаторов оценки достигнутых результатов работы организаций первичной медико-санитарной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Перечни кодов Международной классификации болезней, учитываемые при расчете индикаторов оценки достигнутых результатов работы организации первичной медико-санитарной помощи,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Индикаторы оценки достигнутых результатов работы организации ПМСП формируются на основе баз данных "Национальный регистр больных туберкулезом", Регистр онкологических больных и (или) "Электронный регистр онкологических больных", программного комплекса автоматизированной информационной системы (далее – АИС) стационарных больных "Стационар" и (или) "Электронного регистра стационарных больных" (далее – Регистр стационарных больных), АИС "Материнства и детства", "Регистр прикрепленного населения" (далее – база данных), а также результатов государственного контроля в сфере оказания медицинских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суммы СКПН осуществляется последовательно по следующим формулам: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1: определение интегрального показателя значений индикаторов каждой организации ПМСП в баллах: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конкретному индикатору определяется значение за предыдущий и текущий отчетные периоды в деятельности организации ПМСП.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Определяется цель, которая должна быть достигнута в текущем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И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х N,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цель, которая должна быть достигнута в текущем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– норма порогового значения индикатора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N устанавливает по сравнению с предыдущим кварталом: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значения индикатора, тогда N применяется в положительном значении (N</w:t>
      </w:r>
      <w:r>
        <w:rPr>
          <w:rFonts w:ascii="Times New Roman"/>
          <w:b w:val="false"/>
          <w:i w:val="false"/>
          <w:color w:val="000000"/>
          <w:vertAlign w:val="subscript"/>
        </w:rPr>
        <w:t>сниж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значения индикатора, тогда N применяется в отрицательном значении (N</w:t>
      </w:r>
      <w:r>
        <w:rPr>
          <w:rFonts w:ascii="Times New Roman"/>
          <w:b w:val="false"/>
          <w:i w:val="false"/>
          <w:color w:val="000000"/>
          <w:vertAlign w:val="subscript"/>
        </w:rPr>
        <w:t>повыш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индикатор за предыдущий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цель должна достигнуть определенного значения Ц = 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Отклонение индикатора от цели (ОЦ):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 при N</w:t>
      </w:r>
      <w:r>
        <w:rPr>
          <w:rFonts w:ascii="Times New Roman"/>
          <w:b w:val="false"/>
          <w:i w:val="false"/>
          <w:color w:val="000000"/>
          <w:vertAlign w:val="subscript"/>
        </w:rPr>
        <w:t>сниж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 = Ц - И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 при N повыш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 = И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 – отклонение индикатора от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цель, которая должна была быть достигнута в текущем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индикатор за текущий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достигнута ОЦ показывает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не достигнута ОЦ показывает отрицательное 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перевыполнена ОЦ показывает положительное значение.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Вычисляется приведенный показатель индикатора по отношению к достижению цели на основании значения ОЦ. Максимальное отклонение "в минус" оценивается как 0 баллов, попадание в цель - 1 балл, максимальное отклонение "в плюс" - 2 балла. Также максимальным значением приведенного показателя индикатора оценивается и нулевое значение индикатора за текущий период, если норма порогового значения, установленная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равно 0. Отклонения от цели, находящиеся в интервале от 0 до 2, оцениваются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ППИ = 1 - (ОЦ / ОЦ</w:t>
      </w:r>
      <w:r>
        <w:rPr>
          <w:rFonts w:ascii="Times New Roman"/>
          <w:b w:val="false"/>
          <w:i w:val="false"/>
          <w:color w:val="000000"/>
          <w:vertAlign w:val="subscript"/>
        </w:rPr>
        <w:t>мин</w:t>
      </w:r>
      <w:r>
        <w:rPr>
          <w:rFonts w:ascii="Times New Roman"/>
          <w:b w:val="false"/>
          <w:i w:val="false"/>
          <w:color w:val="000000"/>
          <w:sz w:val="28"/>
        </w:rPr>
        <w:t>), если оценивается отклонение "в минус";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ППИ = 1 + (ОЦ / ОЦ</w:t>
      </w:r>
      <w:r>
        <w:rPr>
          <w:rFonts w:ascii="Times New Roman"/>
          <w:b w:val="false"/>
          <w:i w:val="false"/>
          <w:color w:val="000000"/>
          <w:vertAlign w:val="subscript"/>
        </w:rPr>
        <w:t>макс</w:t>
      </w:r>
      <w:r>
        <w:rPr>
          <w:rFonts w:ascii="Times New Roman"/>
          <w:b w:val="false"/>
          <w:i w:val="false"/>
          <w:color w:val="000000"/>
          <w:sz w:val="28"/>
        </w:rPr>
        <w:t>), если оценивается отклонение "в плюс",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ППИ - приведенный показатель индикатора;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 – отклонение индикатора от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</w:t>
      </w:r>
      <w:r>
        <w:rPr>
          <w:rFonts w:ascii="Times New Roman"/>
          <w:b w:val="false"/>
          <w:i w:val="false"/>
          <w:color w:val="000000"/>
          <w:vertAlign w:val="subscript"/>
        </w:rPr>
        <w:t>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максимальное отклонение "в минус" среди всех организаций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</w:t>
      </w:r>
      <w:r>
        <w:rPr>
          <w:rFonts w:ascii="Times New Roman"/>
          <w:b w:val="false"/>
          <w:i w:val="false"/>
          <w:color w:val="000000"/>
          <w:vertAlign w:val="subscript"/>
        </w:rPr>
        <w:t>макс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максимальное отклонение "в плюс" среди всех организаций ПМСП.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является ППИ по индикатору 1 "Материнская смертность, предотвратимая на уровне первичной медико-санитарной помощи".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регистрации на территории обслуживания организации ПМСП одного случая материнской смертности и более, значение ППИ устанавливается как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регистрации материнской смертности среди прикрепленного населения, ППИ устанавливается в своем максимальном значении - 2.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Повторяются описанные пункты 1-4 шага 1 для индикаторов,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Вычисляется интегральный показатель по индикаторной системе № 1 для каждой организации ПМСП, которая включает величины ППИ индикаторов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ИП</w:t>
      </w:r>
      <w:r>
        <w:rPr>
          <w:rFonts w:ascii="Times New Roman"/>
          <w:b w:val="false"/>
          <w:i w:val="false"/>
          <w:color w:val="000000"/>
          <w:vertAlign w:val="subscript"/>
        </w:rPr>
        <w:t>ис1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(ППИ х ВК),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</w:t>
      </w:r>
      <w:r>
        <w:rPr>
          <w:rFonts w:ascii="Times New Roman"/>
          <w:b w:val="false"/>
          <w:i w:val="false"/>
          <w:color w:val="000000"/>
          <w:vertAlign w:val="subscript"/>
        </w:rPr>
        <w:t>ис1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интегральный показатель по индикаторной системе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 – весовой коэффициент индикатора, установленного в приложении 2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ППИ – приведенный показатель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Интегральный показатель по индикаторной системе № 2 (ИП</w:t>
      </w:r>
      <w:r>
        <w:rPr>
          <w:rFonts w:ascii="Times New Roman"/>
          <w:b w:val="false"/>
          <w:i w:val="false"/>
          <w:color w:val="000000"/>
          <w:vertAlign w:val="subscript"/>
        </w:rPr>
        <w:t>ис2</w:t>
      </w:r>
      <w:r>
        <w:rPr>
          <w:rFonts w:ascii="Times New Roman"/>
          <w:b w:val="false"/>
          <w:i w:val="false"/>
          <w:color w:val="000000"/>
          <w:sz w:val="28"/>
        </w:rPr>
        <w:t xml:space="preserve">) не рассчитывается, так как в этой индикаторной системе используется только величина ППИ по индикатору 1 "Материнская смертность, предотвратимая на уровне первичной медико-санитарной помощи" (ППИ1)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2: расчет суммы стимулирующего компонента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подушевого норматива: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суммы СКПН осуществляется в четыре этапа: на первом этапе - до уровня организации ПМСП по индикаторной системе № 1, на втором этапе - до уровня организации ПМСП по индикаторной системе № 2, на третьем этапе - до уровня территориальных участков организации ПМСП, на четвертом этапе – до уровня работника организации ПМСП.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Первый этап расчета суммы СКПН до уровня организации ПМСП осуществляется по индикаторной системе № 1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определяется объем финансирования СКПН для организации ПМСП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 ис1скпн</w:t>
      </w:r>
      <w:r>
        <w:rPr>
          <w:rFonts w:ascii="Times New Roman"/>
          <w:b w:val="false"/>
          <w:i w:val="false"/>
          <w:color w:val="000000"/>
          <w:sz w:val="28"/>
        </w:rPr>
        <w:t xml:space="preserve"> = С1 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 xml:space="preserve"> х НСВ 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 ис1скпн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финансирования СКПН для организации ПМСП по индикаторной системе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С1 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баллов индикаторной системы № 1 по организации ПМСП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С1 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ИП </w:t>
      </w:r>
      <w:r>
        <w:rPr>
          <w:rFonts w:ascii="Times New Roman"/>
          <w:b w:val="false"/>
          <w:i w:val="false"/>
          <w:color w:val="000000"/>
          <w:vertAlign w:val="subscript"/>
        </w:rPr>
        <w:t>ис1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Кн х Ку + С </w:t>
      </w:r>
      <w:r>
        <w:rPr>
          <w:rFonts w:ascii="Times New Roman"/>
          <w:b w:val="false"/>
          <w:i w:val="false"/>
          <w:color w:val="000000"/>
          <w:vertAlign w:val="subscript"/>
        </w:rPr>
        <w:t>МО дн/с</w:t>
      </w:r>
      <w:r>
        <w:rPr>
          <w:rFonts w:ascii="Times New Roman"/>
          <w:b w:val="false"/>
          <w:i w:val="false"/>
          <w:color w:val="000000"/>
          <w:sz w:val="28"/>
        </w:rPr>
        <w:t xml:space="preserve"> +С </w:t>
      </w:r>
      <w:r>
        <w:rPr>
          <w:rFonts w:ascii="Times New Roman"/>
          <w:b w:val="false"/>
          <w:i w:val="false"/>
          <w:color w:val="000000"/>
          <w:vertAlign w:val="subscript"/>
        </w:rPr>
        <w:t>МО соц/п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С1 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баллов индикаторной системы № 1 по организации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ИП </w:t>
      </w:r>
      <w:r>
        <w:rPr>
          <w:rFonts w:ascii="Times New Roman"/>
          <w:b w:val="false"/>
          <w:i w:val="false"/>
          <w:color w:val="000000"/>
          <w:vertAlign w:val="subscript"/>
        </w:rPr>
        <w:t>ис1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интегральный показатель по индикаторной системе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 – коэффициент населения для организации ПМСП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 = Н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мо</w:t>
      </w:r>
      <w:r>
        <w:rPr>
          <w:rFonts w:ascii="Times New Roman"/>
          <w:b w:val="false"/>
          <w:i w:val="false"/>
          <w:color w:val="000000"/>
          <w:sz w:val="28"/>
        </w:rPr>
        <w:t xml:space="preserve"> / Н </w:t>
      </w:r>
      <w:r>
        <w:rPr>
          <w:rFonts w:ascii="Times New Roman"/>
          <w:b w:val="false"/>
          <w:i w:val="false"/>
          <w:color w:val="000000"/>
          <w:vertAlign w:val="subscript"/>
        </w:rPr>
        <w:t>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/ 100,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 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прикрепленного населения к данной конкретной организации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 </w:t>
      </w:r>
      <w:r>
        <w:rPr>
          <w:rFonts w:ascii="Times New Roman"/>
          <w:b w:val="false"/>
          <w:i w:val="false"/>
          <w:color w:val="000000"/>
          <w:vertAlign w:val="subscript"/>
        </w:rPr>
        <w:t>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минимальное количество прикрепленного населения среди всех организаций ПМСП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 – коэффициент выравнивания территориальных участков, который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 = (У</w:t>
      </w:r>
      <w:r>
        <w:rPr>
          <w:rFonts w:ascii="Times New Roman"/>
          <w:b w:val="false"/>
          <w:i w:val="false"/>
          <w:color w:val="000000"/>
          <w:vertAlign w:val="subscript"/>
        </w:rPr>
        <w:t>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тер</w:t>
      </w:r>
      <w:r>
        <w:rPr>
          <w:rFonts w:ascii="Times New Roman"/>
          <w:b w:val="false"/>
          <w:i w:val="false"/>
          <w:color w:val="000000"/>
          <w:sz w:val="28"/>
        </w:rPr>
        <w:t>/У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 xml:space="preserve"> + У</w:t>
      </w:r>
      <w:r>
        <w:rPr>
          <w:rFonts w:ascii="Times New Roman"/>
          <w:b w:val="false"/>
          <w:i w:val="false"/>
          <w:color w:val="000000"/>
          <w:vertAlign w:val="subscript"/>
        </w:rPr>
        <w:t>пед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пед</w:t>
      </w:r>
      <w:r>
        <w:rPr>
          <w:rFonts w:ascii="Times New Roman"/>
          <w:b w:val="false"/>
          <w:i w:val="false"/>
          <w:color w:val="000000"/>
          <w:sz w:val="28"/>
        </w:rPr>
        <w:t>/У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 xml:space="preserve"> + У</w:t>
      </w:r>
      <w:r>
        <w:rPr>
          <w:rFonts w:ascii="Times New Roman"/>
          <w:b w:val="false"/>
          <w:i w:val="false"/>
          <w:color w:val="000000"/>
          <w:vertAlign w:val="subscript"/>
        </w:rPr>
        <w:t>воп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воп</w:t>
      </w:r>
      <w:r>
        <w:rPr>
          <w:rFonts w:ascii="Times New Roman"/>
          <w:b w:val="false"/>
          <w:i w:val="false"/>
          <w:color w:val="000000"/>
          <w:sz w:val="28"/>
        </w:rPr>
        <w:t>/У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>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</w:t>
      </w:r>
      <w:r>
        <w:rPr>
          <w:rFonts w:ascii="Times New Roman"/>
          <w:b w:val="false"/>
          <w:i w:val="false"/>
          <w:color w:val="000000"/>
          <w:vertAlign w:val="subscript"/>
        </w:rPr>
        <w:t>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участков терапевтического профиля;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</w:t>
      </w:r>
      <w:r>
        <w:rPr>
          <w:rFonts w:ascii="Times New Roman"/>
          <w:b w:val="false"/>
          <w:i w:val="false"/>
          <w:color w:val="000000"/>
          <w:vertAlign w:val="subscript"/>
        </w:rPr>
        <w:t>пед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участков педиатрического профиля;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</w:t>
      </w:r>
      <w:r>
        <w:rPr>
          <w:rFonts w:ascii="Times New Roman"/>
          <w:b w:val="false"/>
          <w:i w:val="false"/>
          <w:color w:val="000000"/>
          <w:vertAlign w:val="subscript"/>
        </w:rPr>
        <w:t>воп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участков ВОП;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участков данной конкретной организации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тер</w:t>
      </w:r>
      <w:r>
        <w:rPr>
          <w:rFonts w:ascii="Times New Roman"/>
          <w:b w:val="false"/>
          <w:i w:val="false"/>
          <w:color w:val="000000"/>
          <w:sz w:val="28"/>
        </w:rPr>
        <w:t>, К</w:t>
      </w:r>
      <w:r>
        <w:rPr>
          <w:rFonts w:ascii="Times New Roman"/>
          <w:b w:val="false"/>
          <w:i w:val="false"/>
          <w:color w:val="000000"/>
          <w:vertAlign w:val="subscript"/>
        </w:rPr>
        <w:t>пед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</w:t>
      </w:r>
      <w:r>
        <w:rPr>
          <w:rFonts w:ascii="Times New Roman"/>
          <w:b w:val="false"/>
          <w:i w:val="false"/>
          <w:color w:val="000000"/>
          <w:vertAlign w:val="subscript"/>
        </w:rPr>
        <w:t>воп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нормативные коэффициенты профиля участков, рассчитанные на основе максимально возможно набираемых баллов на участке каждого профиля, определяются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участков терапевтического и педиатрического профиля: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>уч. профиля</w:t>
      </w:r>
      <w:r>
        <w:rPr>
          <w:rFonts w:ascii="Times New Roman"/>
          <w:b w:val="false"/>
          <w:i w:val="false"/>
          <w:color w:val="000000"/>
          <w:sz w:val="28"/>
        </w:rPr>
        <w:t xml:space="preserve"> = С </w:t>
      </w:r>
      <w:r>
        <w:rPr>
          <w:rFonts w:ascii="Times New Roman"/>
          <w:b w:val="false"/>
          <w:i w:val="false"/>
          <w:color w:val="000000"/>
          <w:vertAlign w:val="subscript"/>
        </w:rPr>
        <w:t>уч. макс</w:t>
      </w:r>
      <w:r>
        <w:rPr>
          <w:rFonts w:ascii="Times New Roman"/>
          <w:b w:val="false"/>
          <w:i w:val="false"/>
          <w:color w:val="000000"/>
          <w:sz w:val="28"/>
        </w:rPr>
        <w:t xml:space="preserve"> /С </w:t>
      </w:r>
      <w:r>
        <w:rPr>
          <w:rFonts w:ascii="Times New Roman"/>
          <w:b w:val="false"/>
          <w:i w:val="false"/>
          <w:color w:val="000000"/>
          <w:vertAlign w:val="subscript"/>
        </w:rPr>
        <w:t>уч. профиля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уч. профиля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одного из профилей участков (К</w:t>
      </w:r>
      <w:r>
        <w:rPr>
          <w:rFonts w:ascii="Times New Roman"/>
          <w:b w:val="false"/>
          <w:i w:val="false"/>
          <w:color w:val="000000"/>
          <w:vertAlign w:val="subscript"/>
        </w:rPr>
        <w:t>тер</w:t>
      </w:r>
      <w:r>
        <w:rPr>
          <w:rFonts w:ascii="Times New Roman"/>
          <w:b w:val="false"/>
          <w:i w:val="false"/>
          <w:color w:val="000000"/>
          <w:sz w:val="28"/>
        </w:rPr>
        <w:t>, К</w:t>
      </w:r>
      <w:r>
        <w:rPr>
          <w:rFonts w:ascii="Times New Roman"/>
          <w:b w:val="false"/>
          <w:i w:val="false"/>
          <w:color w:val="000000"/>
          <w:vertAlign w:val="subscript"/>
        </w:rPr>
        <w:t>пед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>уч. макс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максимальная сумма баллов профилей участков К</w:t>
      </w:r>
      <w:r>
        <w:rPr>
          <w:rFonts w:ascii="Times New Roman"/>
          <w:b w:val="false"/>
          <w:i w:val="false"/>
          <w:color w:val="000000"/>
          <w:vertAlign w:val="subscript"/>
        </w:rPr>
        <w:t>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</w:t>
      </w:r>
      <w:r>
        <w:rPr>
          <w:rFonts w:ascii="Times New Roman"/>
          <w:b w:val="false"/>
          <w:i w:val="false"/>
          <w:color w:val="000000"/>
          <w:vertAlign w:val="subscript"/>
        </w:rPr>
        <w:t>пед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весового коэффициента индикаторов, указанного в таблице максимально возможных баллов в разрезе профилей специальностей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>уч. профиля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баллов одного из профилей участков (К</w:t>
      </w:r>
      <w:r>
        <w:rPr>
          <w:rFonts w:ascii="Times New Roman"/>
          <w:b w:val="false"/>
          <w:i w:val="false"/>
          <w:color w:val="000000"/>
          <w:vertAlign w:val="subscript"/>
        </w:rPr>
        <w:t>тер</w:t>
      </w:r>
      <w:r>
        <w:rPr>
          <w:rFonts w:ascii="Times New Roman"/>
          <w:b w:val="false"/>
          <w:i w:val="false"/>
          <w:color w:val="000000"/>
          <w:sz w:val="28"/>
        </w:rPr>
        <w:t>, К</w:t>
      </w:r>
      <w:r>
        <w:rPr>
          <w:rFonts w:ascii="Times New Roman"/>
          <w:b w:val="false"/>
          <w:i w:val="false"/>
          <w:color w:val="000000"/>
          <w:vertAlign w:val="subscript"/>
        </w:rPr>
        <w:t>пед</w:t>
      </w:r>
      <w:r>
        <w:rPr>
          <w:rFonts w:ascii="Times New Roman"/>
          <w:b w:val="false"/>
          <w:i w:val="false"/>
          <w:color w:val="000000"/>
          <w:sz w:val="28"/>
        </w:rPr>
        <w:t xml:space="preserve">) с учетом весового коэффициента по всем индикаторам, указанным в таблице максимально возможных баллов в разрезе профилей специальностей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участков ВОП: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воп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С </w:t>
      </w:r>
      <w:r>
        <w:rPr>
          <w:rFonts w:ascii="Times New Roman"/>
          <w:b w:val="false"/>
          <w:i w:val="false"/>
          <w:color w:val="000000"/>
          <w:vertAlign w:val="subscript"/>
        </w:rPr>
        <w:t>уч. воп</w:t>
      </w:r>
      <w:r>
        <w:rPr>
          <w:rFonts w:ascii="Times New Roman"/>
          <w:b w:val="false"/>
          <w:i w:val="false"/>
          <w:color w:val="000000"/>
          <w:sz w:val="28"/>
        </w:rPr>
        <w:t xml:space="preserve">/С </w:t>
      </w:r>
      <w:r>
        <w:rPr>
          <w:rFonts w:ascii="Times New Roman"/>
          <w:b w:val="false"/>
          <w:i w:val="false"/>
          <w:color w:val="000000"/>
          <w:vertAlign w:val="subscript"/>
        </w:rPr>
        <w:t>уч. макс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воп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участка ВОП;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Суч. воп – сумма баллов по участку ВОП с учетом весового коэффициента по всем индикаторам, указанного в таблице максимально возможных баллов в разрезе профилей специальностей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Суч. макс – максимальная сумма баллов профилей участков К</w:t>
      </w:r>
      <w:r>
        <w:rPr>
          <w:rFonts w:ascii="Times New Roman"/>
          <w:b w:val="false"/>
          <w:i w:val="false"/>
          <w:color w:val="000000"/>
          <w:vertAlign w:val="subscript"/>
        </w:rPr>
        <w:t>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</w:t>
      </w:r>
      <w:r>
        <w:rPr>
          <w:rFonts w:ascii="Times New Roman"/>
          <w:b w:val="false"/>
          <w:i w:val="false"/>
          <w:color w:val="000000"/>
          <w:vertAlign w:val="subscript"/>
        </w:rPr>
        <w:t>пед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весового коэффициента индикаторов, указанного в таблице максимально возможных баллов в разрезе профилей специальностей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СМО дн/с - сумма баллов по организации ПМСП для стимулирования врачей (врачи общей практики, участковые терапевты и педиатры и профильные специалисты), оказывающих медицинскую помощь в дневном стационаре в организациях амбулаторно-поликлинической помощи, стационаре на дому и (или) направивших на госпитализацию в дневной стационар организации здравоохранения по индикатору 8, указанному в индикаторах оценки достигнутых результатов работы организаций первичной медико-санитарной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которая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>МО дн/с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ИП </w:t>
      </w:r>
      <w:r>
        <w:rPr>
          <w:rFonts w:ascii="Times New Roman"/>
          <w:b w:val="false"/>
          <w:i w:val="false"/>
          <w:color w:val="000000"/>
          <w:vertAlign w:val="subscript"/>
        </w:rPr>
        <w:t>МО дн/с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ИП </w:t>
      </w:r>
      <w:r>
        <w:rPr>
          <w:rFonts w:ascii="Times New Roman"/>
          <w:b w:val="false"/>
          <w:i w:val="false"/>
          <w:color w:val="000000"/>
          <w:vertAlign w:val="subscript"/>
        </w:rPr>
        <w:t>МО дн/с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интегральный показатель организации ПМСП, рассчитанный по индикаторной системе № 1 по индикатору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 – коэффициент населения для организации ПМСП, рассчитанный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шага 2 настоящей Методики;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>МО соц/п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баллов по организации ПМСП для социальных работников и психологов по индикатору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которая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>МО соц/п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ИП </w:t>
      </w:r>
      <w:r>
        <w:rPr>
          <w:rFonts w:ascii="Times New Roman"/>
          <w:b w:val="false"/>
          <w:i w:val="false"/>
          <w:color w:val="000000"/>
          <w:vertAlign w:val="subscript"/>
        </w:rPr>
        <w:t>МО соц/п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 </w:t>
      </w:r>
      <w:r>
        <w:rPr>
          <w:rFonts w:ascii="Times New Roman"/>
          <w:b w:val="false"/>
          <w:i w:val="false"/>
          <w:color w:val="000000"/>
          <w:vertAlign w:val="subscript"/>
        </w:rPr>
        <w:t>соц/п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ИП </w:t>
      </w:r>
      <w:r>
        <w:rPr>
          <w:rFonts w:ascii="Times New Roman"/>
          <w:b w:val="false"/>
          <w:i w:val="false"/>
          <w:color w:val="000000"/>
          <w:vertAlign w:val="subscript"/>
        </w:rPr>
        <w:t>МО соц/п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интегральный показатель организации ПМСП, рассчитанный по индикаторной системе № 1, по индикатору 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 – коэффициент населения для организации ПМСП, рассчитанный согласно подпункту 2) пункта 2 шага 2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>соц/п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персонала социальных работников и психологов организации ПМСП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>соц/п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К </w:t>
      </w:r>
      <w:r>
        <w:rPr>
          <w:rFonts w:ascii="Times New Roman"/>
          <w:b w:val="false"/>
          <w:i w:val="false"/>
          <w:color w:val="000000"/>
          <w:vertAlign w:val="subscript"/>
        </w:rPr>
        <w:t>соц/п мо</w:t>
      </w:r>
      <w:r>
        <w:rPr>
          <w:rFonts w:ascii="Times New Roman"/>
          <w:b w:val="false"/>
          <w:i w:val="false"/>
          <w:color w:val="000000"/>
          <w:sz w:val="28"/>
        </w:rPr>
        <w:t xml:space="preserve"> / К </w:t>
      </w:r>
      <w:r>
        <w:rPr>
          <w:rFonts w:ascii="Times New Roman"/>
          <w:b w:val="false"/>
          <w:i w:val="false"/>
          <w:color w:val="000000"/>
          <w:vertAlign w:val="subscript"/>
        </w:rPr>
        <w:t>соц/п 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/ 10,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>соц/п мо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социальных работников и психологов в организации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>соц/п 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минимальное суммарное количество социальных работников и психологов среди всех организаций ПМСП по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организации ПМСП отсутствуют социальные работники, то К</w:t>
      </w:r>
      <w:r>
        <w:rPr>
          <w:rFonts w:ascii="Times New Roman"/>
          <w:b w:val="false"/>
          <w:i w:val="false"/>
          <w:color w:val="000000"/>
          <w:vertAlign w:val="subscript"/>
        </w:rPr>
        <w:t>соц/п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равен 0 и, соответственно, объем средств, предназначенный на СКПН для стимулирования социальных работников и психологов организации ПМСП, будет равен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ставки вознаграждения индикаторной системы № 1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= О </w:t>
      </w:r>
      <w:r>
        <w:rPr>
          <w:rFonts w:ascii="Times New Roman"/>
          <w:b w:val="false"/>
          <w:i w:val="false"/>
          <w:color w:val="000000"/>
          <w:vertAlign w:val="subscript"/>
        </w:rPr>
        <w:t>фин скпн</w:t>
      </w:r>
      <w:r>
        <w:rPr>
          <w:rFonts w:ascii="Times New Roman"/>
          <w:b w:val="false"/>
          <w:i w:val="false"/>
          <w:color w:val="000000"/>
          <w:sz w:val="28"/>
        </w:rPr>
        <w:t xml:space="preserve"> 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 скпн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финансирования СКПН для всех организаций ПМСП Республики Казахстан в отчетном периоде, определенный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баллов индикаторной системы № 1 по всем организациям ПМСП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регистрации в регионе одного и более случаев материнской смертности всем организациям ПМСП данного региона по индикатору "Материнская смертность, предотвратимая на уровне ПМСП" выставляется балл равный 0. В результате уменьшаются величины ППИ 1 и ИП </w:t>
      </w:r>
      <w:r>
        <w:rPr>
          <w:rFonts w:ascii="Times New Roman"/>
          <w:b w:val="false"/>
          <w:i w:val="false"/>
          <w:color w:val="000000"/>
          <w:vertAlign w:val="subscript"/>
        </w:rPr>
        <w:t>ис1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каждой организации ПМСП в регионе, допустившем материнскую смерть.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суммы СКПН по индикатору 1 "Материнская смертность, предотвратимая на уровне ПМСП" для организации ПМСП в регионе, допустившем материнскую смерть, осуществляется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фин1</w:t>
      </w:r>
      <w:r>
        <w:rPr>
          <w:rFonts w:ascii="Times New Roman"/>
          <w:b w:val="false"/>
          <w:i w:val="false"/>
          <w:color w:val="000000"/>
          <w:sz w:val="28"/>
        </w:rPr>
        <w:t>=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мо "-"</w:t>
      </w:r>
      <w:r>
        <w:rPr>
          <w:rFonts w:ascii="Times New Roman"/>
          <w:b w:val="false"/>
          <w:i w:val="false"/>
          <w:color w:val="000000"/>
          <w:sz w:val="28"/>
        </w:rPr>
        <w:t xml:space="preserve"> х НСВ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СКПН по индикатору 1 "Материнская смертность, предотвратимая на уровне ПМСП" для организации ПМСП в регионе, допустившем материнскую смерть;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ставки вознаграждения индикаторной системы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>мо "-"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баллов по индикатору 1 "Материнская смертность, предотвратимая на уровне ПМСП", подлежащая снятию с организации ПМСП в регионе, допустившем материнскую смерть, которая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>мо "-"</w:t>
      </w:r>
      <w:r>
        <w:rPr>
          <w:rFonts w:ascii="Times New Roman"/>
          <w:b w:val="false"/>
          <w:i w:val="false"/>
          <w:color w:val="000000"/>
          <w:sz w:val="28"/>
        </w:rPr>
        <w:t xml:space="preserve"> = ППИ1 х Кн х Ку,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ППИ 1 – приведенный показатель по индикатору 1 "Материнская смертность, предотвратимая на уровне ПМСП", рассчитанный в соответствии с пунктом 4 шага 1 настоящей Методики;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 – коэффициент населения по организации ПМСП, рассчитанный согласно подпункту 2) пункта 2 шага 2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 – коэффициент выравнивания территориальных участков по организации ПМСП, рассчитанный согласно подпункту 1) пункта 2 шага 2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СКПН по индикатору 1 "Материнская смертность, предотвратимая на уровне ПМСП", снятая с организации ПМСП региона, в котором зарегистрирован случай материнской смертности в отчетном периоде, направляется в организации ПМСП регионов, не допустивших материнскую смерть, и распределяется пропорционально сумме заработанных баллов данными организациями ПМСП по индикаторной системе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Второй этап расчета суммы СКПН до уровня организации ПМСП осуществляется по индикаторной системе № 2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определяется сумма СКПН по организации ПМСП региона, не допустившего материнскую смертность в отчетном периоде,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фин2мо</w:t>
      </w:r>
      <w:r>
        <w:rPr>
          <w:rFonts w:ascii="Times New Roman"/>
          <w:b w:val="false"/>
          <w:i w:val="false"/>
          <w:color w:val="000000"/>
          <w:sz w:val="28"/>
        </w:rPr>
        <w:t xml:space="preserve"> = С2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 xml:space="preserve"> х НСВ2,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фин2мо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СКПН по индикатору 1 "Материнская смертность, предотвратимая на уровне ПМСП" для организации ПМСП в регионе, не допустившем материнскую смерть;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НСВ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норма ставки вознаграждения или стоимость 1 балла индикаторной системы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С2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баллов индикаторной системы № 2 по организации ПМСП по индикатору 1 "Материнская смертность, предотвратимая на уровне ПМСП", рассчитанная как: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С2 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>= ППИ1 х ВК1 х Ку х Кн,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ППИ1 - приведенный показатель индикатора 1 "Материнская смертность, предотвратимая на уровне ПМСП", рассчитанный в соответствии с пунктом 4 шага 1 настоящей Методики и откорректированный в соответствии с подпунктом 2) пункта 2 шага 2 пункта 15 настоящей Методики;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ВК1 – весовой коэффициент индикатора 1 "Материнская смертность, предотвратимая на уровне ПМСП", согласно приложению 2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 ставки вознаграждения индикаторной системы № 2 определяется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= О</w:t>
      </w:r>
      <w:r>
        <w:rPr>
          <w:rFonts w:ascii="Times New Roman"/>
          <w:b w:val="false"/>
          <w:i w:val="false"/>
          <w:color w:val="000000"/>
          <w:vertAlign w:val="subscript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 xml:space="preserve"> 1 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С2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Офин1 – сумма СКПН по индикатору 1 "Материнская смертность, предотвратимая на уровне ПМСП" для организации ПМСП региона, допустившего материнскую смерть рассчитанный согласно подпункта 2) пункта 2 шага 2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С2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баллов индикаторной системы № 2 по организации ПМСП по индикатору 1 "Материнская смертность, предотвратимая на уровне ПМСП".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Третий этап расчета суммы СКПН до уровня территориальных участков организации ПМСП осуществляется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определяется сумма стимулирующей надбавки по участку организации ПМСП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фин/у</w:t>
      </w:r>
      <w:r>
        <w:rPr>
          <w:rFonts w:ascii="Times New Roman"/>
          <w:b w:val="false"/>
          <w:i w:val="false"/>
          <w:color w:val="000000"/>
          <w:sz w:val="28"/>
        </w:rPr>
        <w:t xml:space="preserve"> = С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 xml:space="preserve"> х НСВ</w:t>
      </w:r>
      <w:r>
        <w:rPr>
          <w:rFonts w:ascii="Times New Roman"/>
          <w:b w:val="false"/>
          <w:i w:val="false"/>
          <w:color w:val="000000"/>
          <w:vertAlign w:val="subscript"/>
        </w:rPr>
        <w:t>ус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фин/у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финансирования, выделенных на СКПН на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баллов по участку;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НСВ</w:t>
      </w:r>
      <w:r>
        <w:rPr>
          <w:rFonts w:ascii="Times New Roman"/>
          <w:b w:val="false"/>
          <w:i w:val="false"/>
          <w:color w:val="000000"/>
          <w:vertAlign w:val="subscript"/>
        </w:rPr>
        <w:t>ус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ставки вознаграждения участковой службы по данной организации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баллов по участку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 xml:space="preserve"> = ИП</w:t>
      </w:r>
      <w:r>
        <w:rPr>
          <w:rFonts w:ascii="Times New Roman"/>
          <w:b w:val="false"/>
          <w:i w:val="false"/>
          <w:color w:val="000000"/>
          <w:vertAlign w:val="subscript"/>
        </w:rPr>
        <w:t>ис1у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Кп х Ку х Кн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баллов по участку;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</w:t>
      </w:r>
      <w:r>
        <w:rPr>
          <w:rFonts w:ascii="Times New Roman"/>
          <w:b w:val="false"/>
          <w:i w:val="false"/>
          <w:color w:val="000000"/>
          <w:vertAlign w:val="subscript"/>
        </w:rPr>
        <w:t>ис1у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интегральный показатель индикаторной системы № 1 по данному участку;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 – коэффициент персонала, определяемый по следующей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участков общей практики, терапевтического и педиатрического профилей, имеющих в своем составе более 1 медицинской сестры, используется коэффициент 1,28, который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</w:t>
      </w:r>
      <w:r>
        <w:rPr>
          <w:rFonts w:ascii="Times New Roman"/>
          <w:b w:val="false"/>
          <w:i w:val="false"/>
          <w:color w:val="000000"/>
          <w:vertAlign w:val="subscript"/>
        </w:rPr>
        <w:t>врач</w:t>
      </w:r>
      <w:r>
        <w:rPr>
          <w:rFonts w:ascii="Times New Roman"/>
          <w:b w:val="false"/>
          <w:i w:val="false"/>
          <w:color w:val="000000"/>
          <w:sz w:val="28"/>
        </w:rPr>
        <w:t xml:space="preserve"> + 2</w:t>
      </w:r>
      <w:r>
        <w:rPr>
          <w:rFonts w:ascii="Times New Roman"/>
          <w:b w:val="false"/>
          <w:i w:val="false"/>
          <w:color w:val="000000"/>
          <w:vertAlign w:val="subscript"/>
        </w:rPr>
        <w:t>смр</w:t>
      </w:r>
      <w:r>
        <w:rPr>
          <w:rFonts w:ascii="Times New Roman"/>
          <w:b w:val="false"/>
          <w:i w:val="false"/>
          <w:color w:val="000000"/>
          <w:sz w:val="28"/>
        </w:rPr>
        <w:t xml:space="preserve"> х 0,4) / (1</w:t>
      </w:r>
      <w:r>
        <w:rPr>
          <w:rFonts w:ascii="Times New Roman"/>
          <w:b w:val="false"/>
          <w:i w:val="false"/>
          <w:color w:val="000000"/>
          <w:vertAlign w:val="subscript"/>
        </w:rPr>
        <w:t>врач</w:t>
      </w:r>
      <w:r>
        <w:rPr>
          <w:rFonts w:ascii="Times New Roman"/>
          <w:b w:val="false"/>
          <w:i w:val="false"/>
          <w:color w:val="000000"/>
          <w:sz w:val="28"/>
        </w:rPr>
        <w:t xml:space="preserve"> + 1</w:t>
      </w:r>
      <w:r>
        <w:rPr>
          <w:rFonts w:ascii="Times New Roman"/>
          <w:b w:val="false"/>
          <w:i w:val="false"/>
          <w:color w:val="000000"/>
          <w:vertAlign w:val="subscript"/>
        </w:rPr>
        <w:t>смр</w:t>
      </w:r>
      <w:r>
        <w:rPr>
          <w:rFonts w:ascii="Times New Roman"/>
          <w:b w:val="false"/>
          <w:i w:val="false"/>
          <w:color w:val="000000"/>
          <w:sz w:val="28"/>
        </w:rPr>
        <w:t xml:space="preserve"> х 0,4) = 1,28;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участков ВОП, имеющих в своем составе более 2-х медицинских сестер используется коэффициент 1,57, который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</w:t>
      </w:r>
      <w:r>
        <w:rPr>
          <w:rFonts w:ascii="Times New Roman"/>
          <w:b w:val="false"/>
          <w:i w:val="false"/>
          <w:color w:val="000000"/>
          <w:vertAlign w:val="subscript"/>
        </w:rPr>
        <w:t>врач</w:t>
      </w:r>
      <w:r>
        <w:rPr>
          <w:rFonts w:ascii="Times New Roman"/>
          <w:b w:val="false"/>
          <w:i w:val="false"/>
          <w:color w:val="000000"/>
          <w:sz w:val="28"/>
        </w:rPr>
        <w:t xml:space="preserve"> + 3</w:t>
      </w:r>
      <w:r>
        <w:rPr>
          <w:rFonts w:ascii="Times New Roman"/>
          <w:b w:val="false"/>
          <w:i w:val="false"/>
          <w:color w:val="000000"/>
          <w:vertAlign w:val="subscript"/>
        </w:rPr>
        <w:t>смр</w:t>
      </w:r>
      <w:r>
        <w:rPr>
          <w:rFonts w:ascii="Times New Roman"/>
          <w:b w:val="false"/>
          <w:i w:val="false"/>
          <w:color w:val="000000"/>
          <w:sz w:val="28"/>
        </w:rPr>
        <w:t xml:space="preserve"> х 0,4) / (1</w:t>
      </w:r>
      <w:r>
        <w:rPr>
          <w:rFonts w:ascii="Times New Roman"/>
          <w:b w:val="false"/>
          <w:i w:val="false"/>
          <w:color w:val="000000"/>
          <w:vertAlign w:val="subscript"/>
        </w:rPr>
        <w:t>врач</w:t>
      </w:r>
      <w:r>
        <w:rPr>
          <w:rFonts w:ascii="Times New Roman"/>
          <w:b w:val="false"/>
          <w:i w:val="false"/>
          <w:color w:val="000000"/>
          <w:sz w:val="28"/>
        </w:rPr>
        <w:t xml:space="preserve"> + 1</w:t>
      </w:r>
      <w:r>
        <w:rPr>
          <w:rFonts w:ascii="Times New Roman"/>
          <w:b w:val="false"/>
          <w:i w:val="false"/>
          <w:color w:val="000000"/>
          <w:vertAlign w:val="subscript"/>
        </w:rPr>
        <w:t>смр</w:t>
      </w:r>
      <w:r>
        <w:rPr>
          <w:rFonts w:ascii="Times New Roman"/>
          <w:b w:val="false"/>
          <w:i w:val="false"/>
          <w:color w:val="000000"/>
          <w:sz w:val="28"/>
        </w:rPr>
        <w:t xml:space="preserve"> х 0,4) = 1,57,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0,4 – коэффициент отношения фонда оплаты труда средних медицинских работников к фонду оплаты труда врачей;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населения по территориальному участку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 xml:space="preserve"> = Н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 xml:space="preserve"> / Н </w:t>
      </w:r>
      <w:r>
        <w:rPr>
          <w:rFonts w:ascii="Times New Roman"/>
          <w:b w:val="false"/>
          <w:i w:val="false"/>
          <w:color w:val="000000"/>
          <w:vertAlign w:val="subscript"/>
        </w:rPr>
        <w:t>у норм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прикрепленного населения к данному территориальному участку;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 </w:t>
      </w:r>
      <w:r>
        <w:rPr>
          <w:rFonts w:ascii="Times New Roman"/>
          <w:b w:val="false"/>
          <w:i w:val="false"/>
          <w:color w:val="000000"/>
          <w:vertAlign w:val="subscript"/>
        </w:rPr>
        <w:t>у 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нормативная численность прикрепленного населения на территориальном участке в соответствии с профилем участка,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апреля 2010 года № 238 "Об утверждении типовых штатов и штатных нормативов организаций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 ставки вознаграждения для участковой службы определяется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НСВ</w:t>
      </w:r>
      <w:r>
        <w:rPr>
          <w:rFonts w:ascii="Times New Roman"/>
          <w:b w:val="false"/>
          <w:i w:val="false"/>
          <w:color w:val="000000"/>
          <w:vertAlign w:val="subscript"/>
        </w:rPr>
        <w:t>ус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О </w:t>
      </w:r>
      <w:r>
        <w:rPr>
          <w:rFonts w:ascii="Times New Roman"/>
          <w:b w:val="false"/>
          <w:i w:val="false"/>
          <w:color w:val="000000"/>
          <w:vertAlign w:val="subscript"/>
        </w:rPr>
        <w:t>фин ус</w:t>
      </w:r>
      <w:r>
        <w:rPr>
          <w:rFonts w:ascii="Times New Roman"/>
          <w:b w:val="false"/>
          <w:i w:val="false"/>
          <w:color w:val="000000"/>
          <w:sz w:val="28"/>
        </w:rPr>
        <w:t xml:space="preserve"> 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vertAlign w:val="subscript"/>
        </w:rPr>
        <w:t>ус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фин/у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финансовых средств, предназначенный для стимулирования участковой службы организации ПМСП, который определяется как: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фин/у</w:t>
      </w:r>
      <w:r>
        <w:rPr>
          <w:rFonts w:ascii="Times New Roman"/>
          <w:b w:val="false"/>
          <w:i w:val="false"/>
          <w:color w:val="000000"/>
          <w:sz w:val="28"/>
        </w:rPr>
        <w:t xml:space="preserve"> = О </w:t>
      </w:r>
      <w:r>
        <w:rPr>
          <w:rFonts w:ascii="Times New Roman"/>
          <w:b w:val="false"/>
          <w:i w:val="false"/>
          <w:color w:val="000000"/>
          <w:vertAlign w:val="subscript"/>
        </w:rPr>
        <w:t>фин мо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 </w:t>
      </w:r>
      <w:r>
        <w:rPr>
          <w:rFonts w:ascii="Times New Roman"/>
          <w:b w:val="false"/>
          <w:i w:val="false"/>
          <w:color w:val="000000"/>
          <w:vertAlign w:val="subscript"/>
        </w:rPr>
        <w:t>фин 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 </w:t>
      </w:r>
      <w:r>
        <w:rPr>
          <w:rFonts w:ascii="Times New Roman"/>
          <w:b w:val="false"/>
          <w:i w:val="false"/>
          <w:color w:val="000000"/>
          <w:vertAlign w:val="subscript"/>
        </w:rPr>
        <w:t>фин доп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 </w:t>
      </w:r>
      <w:r>
        <w:rPr>
          <w:rFonts w:ascii="Times New Roman"/>
          <w:b w:val="false"/>
          <w:i w:val="false"/>
          <w:color w:val="000000"/>
          <w:vertAlign w:val="subscript"/>
        </w:rPr>
        <w:t>фин соц/п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 </w:t>
      </w:r>
      <w:r>
        <w:rPr>
          <w:rFonts w:ascii="Times New Roman"/>
          <w:b w:val="false"/>
          <w:i w:val="false"/>
          <w:color w:val="000000"/>
          <w:vertAlign w:val="subscript"/>
        </w:rPr>
        <w:t>фин дн/с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 ус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финансовых средств, предназначенная на СКПН, направляемая на участки организации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 мо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финансовых средств, предназначенный на СКПН, для организации ПМСП в целом, рассчитанный как: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 мо</w:t>
      </w:r>
      <w:r>
        <w:rPr>
          <w:rFonts w:ascii="Times New Roman"/>
          <w:b w:val="false"/>
          <w:i w:val="false"/>
          <w:color w:val="000000"/>
          <w:sz w:val="28"/>
        </w:rPr>
        <w:t xml:space="preserve"> = О </w:t>
      </w:r>
      <w:r>
        <w:rPr>
          <w:rFonts w:ascii="Times New Roman"/>
          <w:b w:val="false"/>
          <w:i w:val="false"/>
          <w:color w:val="000000"/>
          <w:vertAlign w:val="subscript"/>
        </w:rPr>
        <w:t>фин1мо</w:t>
      </w:r>
      <w:r>
        <w:rPr>
          <w:rFonts w:ascii="Times New Roman"/>
          <w:b w:val="false"/>
          <w:i w:val="false"/>
          <w:color w:val="000000"/>
          <w:sz w:val="28"/>
        </w:rPr>
        <w:t xml:space="preserve"> + О </w:t>
      </w:r>
      <w:r>
        <w:rPr>
          <w:rFonts w:ascii="Times New Roman"/>
          <w:b w:val="false"/>
          <w:i w:val="false"/>
          <w:color w:val="000000"/>
          <w:vertAlign w:val="subscript"/>
        </w:rPr>
        <w:t>фин2мо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фин1мо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 </w:t>
      </w:r>
      <w:r>
        <w:rPr>
          <w:rFonts w:ascii="Times New Roman"/>
          <w:b w:val="false"/>
          <w:i w:val="false"/>
          <w:color w:val="000000"/>
          <w:vertAlign w:val="subscript"/>
        </w:rPr>
        <w:t>фин2мо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финансовых средств, предназначенных на СКПН, по организации ПМСП, рассчитанный согласно подпункта 2) пункта 2 шага 2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 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финансовых средств, предназначенный на СКПН, резервируемый организацией ПМСП на повышение квалификации и обучение работников организации ПМСП, в том числе профильных специалистов, деятельность которых влияет на достижение конечных результатов работы организаций ПМСП, включая командировочные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 доп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финансовых средств, предназначенный на СКПН на стимулирование руководителя самостоятельного Центра семейного здоровья или врачебной амбулатории, заведующих и старших медицинских сестер отделений общей врачебной практики, заведующих и старших медицинских сестер отделений участковой службы, акушерки, оказывающие медицинские услуги в условиях территориального участка, врачей и медицинских сестер отделения профилактики и социально-психологической помощи Центра семейного здоровья (далее - дополнительный персонал).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 соц/п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финансовых средств, предназначенный на СКПН для стимулирования социальных работников и психологов организации ПМСП,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 соц/п</w:t>
      </w:r>
      <w:r>
        <w:rPr>
          <w:rFonts w:ascii="Times New Roman"/>
          <w:b w:val="false"/>
          <w:i w:val="false"/>
          <w:color w:val="000000"/>
          <w:sz w:val="28"/>
        </w:rPr>
        <w:t xml:space="preserve"> = С </w:t>
      </w:r>
      <w:r>
        <w:rPr>
          <w:rFonts w:ascii="Times New Roman"/>
          <w:b w:val="false"/>
          <w:i w:val="false"/>
          <w:color w:val="000000"/>
          <w:vertAlign w:val="subscript"/>
        </w:rPr>
        <w:t>МО соц/п</w:t>
      </w:r>
      <w:r>
        <w:rPr>
          <w:rFonts w:ascii="Times New Roman"/>
          <w:b w:val="false"/>
          <w:i w:val="false"/>
          <w:color w:val="000000"/>
          <w:sz w:val="28"/>
        </w:rPr>
        <w:t xml:space="preserve"> х НСВ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>МО соц/п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баллов по организации ПМСП для социальных работников и психологов по индикатору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ставки вознаграждения индикаторной системы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 дн/с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финансовых средств, предназначенный на СКПН для стимулирования врачей (врачи общей практики, участковые терапевты и педиатры и профильные специалисты), оказывающих медицинскую помощь в дневном стационаре в организациях амбулаторно-поликлинической помощи, стационаре на дому и (или) направивших на госпитализацию в дневной стационар организации здравоохранения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 дн/с</w:t>
      </w:r>
      <w:r>
        <w:rPr>
          <w:rFonts w:ascii="Times New Roman"/>
          <w:b w:val="false"/>
          <w:i w:val="false"/>
          <w:color w:val="000000"/>
          <w:sz w:val="28"/>
        </w:rPr>
        <w:t xml:space="preserve"> = С </w:t>
      </w:r>
      <w:r>
        <w:rPr>
          <w:rFonts w:ascii="Times New Roman"/>
          <w:b w:val="false"/>
          <w:i w:val="false"/>
          <w:color w:val="000000"/>
          <w:vertAlign w:val="subscript"/>
        </w:rPr>
        <w:t>МО дн/с</w:t>
      </w:r>
      <w:r>
        <w:rPr>
          <w:rFonts w:ascii="Times New Roman"/>
          <w:b w:val="false"/>
          <w:i w:val="false"/>
          <w:color w:val="000000"/>
          <w:sz w:val="28"/>
        </w:rPr>
        <w:t xml:space="preserve"> х НСВ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>МО дн/с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баллов по организации ПМСП для стимулирования врачей (врачи общей практики, участковые терапевты и педиатры и профильные специалисты), оказывающих медицинскую помощь в дневном стационаре в организациях амбулаторно-поликлинической помощи, стационаре на дому и (или) направивших на госпитализацию в дневной стационар организации здравоохранения по индикатору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ставки вознаграждения индикаторной системы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Четвертый этап расчета суммы СКПН до уровня каждого работника ПМСП, осуществляется комиссией по оценке результатов и начислению выплат СКПН в организации ПМСП, утвержденной руководителем организации ПМСП, которая определяет порядок его распределения.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3.1.2. Консультативно-диагностическая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Оплата за оказанный объем услуг специализированной и высокоспециализированной медицинской помощи, осуществляемой в форме консультативно-диагностической помощи, производится по базовому тарифу, определяемому путем деления предусмотренных финансовых средств соответствующих бюджетов на планируемое количество оказания медицинских услуг с учетом коэффициентов затратоемкости: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Бт</w:t>
      </w:r>
      <w:r>
        <w:rPr>
          <w:rFonts w:ascii="Times New Roman"/>
          <w:b w:val="false"/>
          <w:i w:val="false"/>
          <w:color w:val="000000"/>
          <w:vertAlign w:val="subscript"/>
        </w:rPr>
        <w:t>кдп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О </w:t>
      </w:r>
      <w:r>
        <w:rPr>
          <w:rFonts w:ascii="Times New Roman"/>
          <w:b w:val="false"/>
          <w:i w:val="false"/>
          <w:color w:val="000000"/>
          <w:vertAlign w:val="subscript"/>
        </w:rPr>
        <w:t>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/(Пк х Кз </w:t>
      </w:r>
      <w:r>
        <w:rPr>
          <w:rFonts w:ascii="Times New Roman"/>
          <w:b w:val="false"/>
          <w:i w:val="false"/>
          <w:color w:val="000000"/>
          <w:vertAlign w:val="subscript"/>
        </w:rPr>
        <w:t>ср усл</w:t>
      </w:r>
      <w:r>
        <w:rPr>
          <w:rFonts w:ascii="Times New Roman"/>
          <w:b w:val="false"/>
          <w:i w:val="false"/>
          <w:color w:val="000000"/>
          <w:sz w:val="28"/>
        </w:rPr>
        <w:t>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Бт </w:t>
      </w:r>
      <w:r>
        <w:rPr>
          <w:rFonts w:ascii="Times New Roman"/>
          <w:b w:val="false"/>
          <w:i w:val="false"/>
          <w:color w:val="000000"/>
          <w:vertAlign w:val="subscript"/>
        </w:rPr>
        <w:t>кдп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базовый тариф консультативно-диагностической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средства, предусмотренные соответствующим бюджетом на очередной планируемый период для оказания консультативно-диагностической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– планируемое количество медицинских услуг консультативно-диагностической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Кз </w:t>
      </w:r>
      <w:r>
        <w:rPr>
          <w:rFonts w:ascii="Times New Roman"/>
          <w:b w:val="false"/>
          <w:i w:val="false"/>
          <w:color w:val="000000"/>
          <w:vertAlign w:val="subscript"/>
        </w:rPr>
        <w:t>ср усл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средний коэффициент затратоемкости услуги по всем планируемым медицинским услугам;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финансирования по возмещению затрат консультативно-диагностической помощи определяется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 xml:space="preserve"> = О </w:t>
      </w:r>
      <w:r>
        <w:rPr>
          <w:rFonts w:ascii="Times New Roman"/>
          <w:b w:val="false"/>
          <w:i w:val="false"/>
          <w:color w:val="000000"/>
          <w:vertAlign w:val="subscript"/>
        </w:rPr>
        <w:t>финусл1</w:t>
      </w:r>
      <w:r>
        <w:rPr>
          <w:rFonts w:ascii="Times New Roman"/>
          <w:b w:val="false"/>
          <w:i w:val="false"/>
          <w:color w:val="000000"/>
          <w:sz w:val="28"/>
        </w:rPr>
        <w:t xml:space="preserve"> + О </w:t>
      </w:r>
      <w:r>
        <w:rPr>
          <w:rFonts w:ascii="Times New Roman"/>
          <w:b w:val="false"/>
          <w:i w:val="false"/>
          <w:color w:val="000000"/>
          <w:vertAlign w:val="subscript"/>
        </w:rPr>
        <w:t>финусл2</w:t>
      </w:r>
      <w:r>
        <w:rPr>
          <w:rFonts w:ascii="Times New Roman"/>
          <w:b w:val="false"/>
          <w:i w:val="false"/>
          <w:color w:val="000000"/>
          <w:sz w:val="28"/>
        </w:rPr>
        <w:t xml:space="preserve"> + О </w:t>
      </w:r>
      <w:r>
        <w:rPr>
          <w:rFonts w:ascii="Times New Roman"/>
          <w:b w:val="false"/>
          <w:i w:val="false"/>
          <w:color w:val="000000"/>
          <w:vertAlign w:val="subscript"/>
        </w:rPr>
        <w:t>финуслn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финусл1…n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финансирования по возмещению затрат на один вид услуг консультативно-диагностической помощи определяется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финусл</w:t>
      </w:r>
      <w:r>
        <w:rPr>
          <w:rFonts w:ascii="Times New Roman"/>
          <w:b w:val="false"/>
          <w:i w:val="false"/>
          <w:color w:val="000000"/>
          <w:sz w:val="28"/>
        </w:rPr>
        <w:t xml:space="preserve"> = Бт </w:t>
      </w:r>
      <w:r>
        <w:rPr>
          <w:rFonts w:ascii="Times New Roman"/>
          <w:b w:val="false"/>
          <w:i w:val="false"/>
          <w:color w:val="000000"/>
          <w:vertAlign w:val="subscript"/>
        </w:rPr>
        <w:t>кдп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Кз </w:t>
      </w:r>
      <w:r>
        <w:rPr>
          <w:rFonts w:ascii="Times New Roman"/>
          <w:b w:val="false"/>
          <w:i w:val="false"/>
          <w:color w:val="000000"/>
          <w:vertAlign w:val="subscript"/>
        </w:rPr>
        <w:t>усл</w:t>
      </w:r>
      <w:r>
        <w:rPr>
          <w:rFonts w:ascii="Times New Roman"/>
          <w:b w:val="false"/>
          <w:i w:val="false"/>
          <w:color w:val="000000"/>
          <w:sz w:val="28"/>
        </w:rPr>
        <w:t xml:space="preserve"> х Пк усл,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Кз </w:t>
      </w:r>
      <w:r>
        <w:rPr>
          <w:rFonts w:ascii="Times New Roman"/>
          <w:b w:val="false"/>
          <w:i w:val="false"/>
          <w:color w:val="000000"/>
          <w:vertAlign w:val="subscript"/>
        </w:rPr>
        <w:t>усл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затратоемкости по виду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</w:t>
      </w:r>
      <w:r>
        <w:rPr>
          <w:rFonts w:ascii="Times New Roman"/>
          <w:b w:val="false"/>
          <w:i w:val="false"/>
          <w:color w:val="000000"/>
          <w:vertAlign w:val="subscript"/>
        </w:rPr>
        <w:t>усл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планируемое количество по виду услуги в организациях здравоохранения, оказывающих консультативно-диагностическую помощь.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Стационарная и стационарозамещающая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Организации, оказывающие стационарную и стационарозамещающую помощь, используют следующие тарифы: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один койко-день;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один пролеченный случай;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один пролеченный случай по медико-экономическим тарифам;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один пролеченный случай по клинико-затратным группам.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Тариф для медицинских организаций, оказывающих специализированную медицинскую помощь в форме стационарной помощи, оплата которым осуществляется за один койко-день, определятся как отношение объема финансирования по возмещению затрат стационарной помощи в рамках ГОБМП на очередной плановый период к количеству койко-дней по данной медицинской организации на очередной плановый период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 </w:t>
      </w:r>
      <w:r>
        <w:rPr>
          <w:rFonts w:ascii="Times New Roman"/>
          <w:b w:val="false"/>
          <w:i w:val="false"/>
          <w:color w:val="000000"/>
          <w:vertAlign w:val="subscript"/>
        </w:rPr>
        <w:t>к/дн</w:t>
      </w:r>
      <w:r>
        <w:rPr>
          <w:rFonts w:ascii="Times New Roman"/>
          <w:b w:val="false"/>
          <w:i w:val="false"/>
          <w:color w:val="000000"/>
          <w:sz w:val="28"/>
        </w:rPr>
        <w:t xml:space="preserve"> = О </w:t>
      </w:r>
      <w:r>
        <w:rPr>
          <w:rFonts w:ascii="Times New Roman"/>
          <w:b w:val="false"/>
          <w:i w:val="false"/>
          <w:color w:val="000000"/>
          <w:vertAlign w:val="subscript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Кл </w:t>
      </w:r>
      <w:r>
        <w:rPr>
          <w:rFonts w:ascii="Times New Roman"/>
          <w:b w:val="false"/>
          <w:i w:val="false"/>
          <w:color w:val="000000"/>
          <w:vertAlign w:val="subscript"/>
        </w:rPr>
        <w:t>к/дн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 </w:t>
      </w:r>
      <w:r>
        <w:rPr>
          <w:rFonts w:ascii="Times New Roman"/>
          <w:b w:val="false"/>
          <w:i w:val="false"/>
          <w:color w:val="000000"/>
          <w:vertAlign w:val="subscript"/>
        </w:rPr>
        <w:t>к/дн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для медицинских организаций, оказывающих специализированную медицинскую помощь в форме стационарной помощи, оплата которым осуществляется за один койко-день;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финансирования по возмещению затрат стационарной помощи в рамках ГОБМП на очередной плановый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 </w:t>
      </w:r>
      <w:r>
        <w:rPr>
          <w:rFonts w:ascii="Times New Roman"/>
          <w:b w:val="false"/>
          <w:i w:val="false"/>
          <w:color w:val="000000"/>
          <w:vertAlign w:val="subscript"/>
        </w:rPr>
        <w:t>к/дн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койко-дней по данной медицинской организации на очередной плановый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Тариф для медицинских организаций, оказывающих специализированную медицинскую помощь в форме стационарной помощи, оплата которым осуществляется за один пролеченный случай, рассчитывается, как отношение объема финансирования по возмещению затрат стационарной помощи в рамках ГОБМП на очередной плановый период к количеству пролеченных случаев по данной медицинской организации на очередной плановый период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О </w:t>
      </w:r>
      <w:r>
        <w:rPr>
          <w:rFonts w:ascii="Times New Roman"/>
          <w:b w:val="false"/>
          <w:i w:val="false"/>
          <w:color w:val="000000"/>
          <w:vertAlign w:val="subscript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Кл </w:t>
      </w:r>
      <w:r>
        <w:rPr>
          <w:rFonts w:ascii="Times New Roman"/>
          <w:b w:val="false"/>
          <w:i w:val="false"/>
          <w:color w:val="000000"/>
          <w:vertAlign w:val="subscript"/>
        </w:rPr>
        <w:t>пс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 </w:t>
      </w:r>
      <w:r>
        <w:rPr>
          <w:rFonts w:ascii="Times New Roman"/>
          <w:b w:val="false"/>
          <w:i w:val="false"/>
          <w:color w:val="000000"/>
          <w:vertAlign w:val="subscript"/>
        </w:rPr>
        <w:t>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для медицинских организаций, оказывающих специализированную медицинскую помощь в форме стационарной помощи, оплата которым осуществляется за один пролеченный случай;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фин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финансирования по возмещению затрат стационарной помощи в рамках ГОБМП на очередной плановый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 </w:t>
      </w:r>
      <w:r>
        <w:rPr>
          <w:rFonts w:ascii="Times New Roman"/>
          <w:b w:val="false"/>
          <w:i w:val="false"/>
          <w:color w:val="000000"/>
          <w:vertAlign w:val="subscript"/>
        </w:rPr>
        <w:t>пс</w:t>
      </w:r>
      <w:r>
        <w:rPr>
          <w:rFonts w:ascii="Times New Roman"/>
          <w:b w:val="false"/>
          <w:i w:val="false"/>
          <w:color w:val="000000"/>
          <w:sz w:val="28"/>
        </w:rPr>
        <w:t>– количество пролеченных случаев по данной медицинской организации на очередной плановый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Тариф для медицинских организаций, оказывающих стационарную и (или) стационарозамещающую помощь, оплата которым осуществляется по медико-экономическим тарифам, рассчитывается на основе протоколов диагностики и лечения.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Тариф для медицинских организаций, оказывающих стационарную и (или) стационарозамещающую помощь, оплата которым осуществляется по КЗГ, рассчитывается последовательно по следующим формулам: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1: определение стоимости одной КЗГ: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>кзг</w:t>
      </w:r>
      <w:r>
        <w:rPr>
          <w:rFonts w:ascii="Times New Roman"/>
          <w:b w:val="false"/>
          <w:i w:val="false"/>
          <w:color w:val="000000"/>
          <w:sz w:val="28"/>
        </w:rPr>
        <w:t xml:space="preserve"> = С </w:t>
      </w:r>
      <w:r>
        <w:rPr>
          <w:rFonts w:ascii="Times New Roman"/>
          <w:b w:val="false"/>
          <w:i w:val="false"/>
          <w:color w:val="000000"/>
          <w:vertAlign w:val="subscript"/>
        </w:rPr>
        <w:t>бс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Кз </w:t>
      </w:r>
      <w:r>
        <w:rPr>
          <w:rFonts w:ascii="Times New Roman"/>
          <w:b w:val="false"/>
          <w:i w:val="false"/>
          <w:color w:val="000000"/>
          <w:vertAlign w:val="subscript"/>
        </w:rPr>
        <w:t>кзг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>кзг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одной КЗГ;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>бс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одной базовой ставки;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Кз </w:t>
      </w:r>
      <w:r>
        <w:rPr>
          <w:rFonts w:ascii="Times New Roman"/>
          <w:b w:val="false"/>
          <w:i w:val="false"/>
          <w:color w:val="000000"/>
          <w:vertAlign w:val="subscript"/>
        </w:rPr>
        <w:t>кзг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затратоемкости по КЗГ;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2: определения стоимости одной базовой ставки: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бс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О </w:t>
      </w:r>
      <w:r>
        <w:rPr>
          <w:rFonts w:ascii="Times New Roman"/>
          <w:b w:val="false"/>
          <w:i w:val="false"/>
          <w:color w:val="000000"/>
          <w:vertAlign w:val="subscript"/>
        </w:rPr>
        <w:t>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/ (Кл </w:t>
      </w:r>
      <w:r>
        <w:rPr>
          <w:rFonts w:ascii="Times New Roman"/>
          <w:b w:val="false"/>
          <w:i w:val="false"/>
          <w:color w:val="000000"/>
          <w:vertAlign w:val="subscript"/>
        </w:rPr>
        <w:t>бс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 </w:t>
      </w:r>
      <w:r>
        <w:rPr>
          <w:rFonts w:ascii="Times New Roman"/>
          <w:b w:val="false"/>
          <w:i w:val="false"/>
          <w:color w:val="000000"/>
          <w:vertAlign w:val="subscript"/>
        </w:rPr>
        <w:t>попр</w:t>
      </w:r>
      <w:r>
        <w:rPr>
          <w:rFonts w:ascii="Times New Roman"/>
          <w:b w:val="false"/>
          <w:i w:val="false"/>
          <w:color w:val="000000"/>
          <w:sz w:val="28"/>
        </w:rPr>
        <w:t>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бс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одной базовой ставки;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средств, предусмотренный соответствующим бюджетом на очередной планируемый период для оказания стационарной и (или) стационарозамещающей помощи по КЗГ в рамках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 </w:t>
      </w:r>
      <w:r>
        <w:rPr>
          <w:rFonts w:ascii="Times New Roman"/>
          <w:b w:val="false"/>
          <w:i w:val="false"/>
          <w:color w:val="000000"/>
          <w:vertAlign w:val="subscript"/>
        </w:rPr>
        <w:t>бс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базовых ставок;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>попр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(коэффициент уровня стационара, экологический коэффициент, региональный коэффициент, коэффициент сельской территории и другие коэффициенты), который утверждается уполномоченным органом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3: определение количества базовых ставок: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 </w:t>
      </w:r>
      <w:r>
        <w:rPr>
          <w:rFonts w:ascii="Times New Roman"/>
          <w:b w:val="false"/>
          <w:i w:val="false"/>
          <w:color w:val="000000"/>
          <w:vertAlign w:val="subscript"/>
        </w:rPr>
        <w:t>бс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(Кз </w:t>
      </w:r>
      <w:r>
        <w:rPr>
          <w:rFonts w:ascii="Times New Roman"/>
          <w:b w:val="false"/>
          <w:i w:val="false"/>
          <w:color w:val="000000"/>
          <w:vertAlign w:val="subscript"/>
        </w:rPr>
        <w:t>ср.кзг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Кл </w:t>
      </w:r>
      <w:r>
        <w:rPr>
          <w:rFonts w:ascii="Times New Roman"/>
          <w:b w:val="false"/>
          <w:i w:val="false"/>
          <w:color w:val="000000"/>
          <w:vertAlign w:val="subscript"/>
        </w:rPr>
        <w:t>пр.случ</w:t>
      </w:r>
      <w:r>
        <w:rPr>
          <w:rFonts w:ascii="Times New Roman"/>
          <w:b w:val="false"/>
          <w:i w:val="false"/>
          <w:color w:val="000000"/>
          <w:sz w:val="28"/>
        </w:rPr>
        <w:t>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 </w:t>
      </w:r>
      <w:r>
        <w:rPr>
          <w:rFonts w:ascii="Times New Roman"/>
          <w:b w:val="false"/>
          <w:i w:val="false"/>
          <w:color w:val="000000"/>
          <w:vertAlign w:val="subscript"/>
        </w:rPr>
        <w:t>бс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базовых ставок;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Кз </w:t>
      </w:r>
      <w:r>
        <w:rPr>
          <w:rFonts w:ascii="Times New Roman"/>
          <w:b w:val="false"/>
          <w:i w:val="false"/>
          <w:color w:val="000000"/>
          <w:vertAlign w:val="subscript"/>
        </w:rPr>
        <w:t>ср.кзг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средний коэффициент затратоемкости по КЗГ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 </w:t>
      </w:r>
      <w:r>
        <w:rPr>
          <w:rFonts w:ascii="Times New Roman"/>
          <w:b w:val="false"/>
          <w:i w:val="false"/>
          <w:color w:val="000000"/>
          <w:vertAlign w:val="subscript"/>
        </w:rPr>
        <w:t>пр.случ</w:t>
      </w:r>
      <w:r>
        <w:rPr>
          <w:rFonts w:ascii="Times New Roman"/>
          <w:b w:val="false"/>
          <w:i w:val="false"/>
          <w:color w:val="000000"/>
          <w:sz w:val="28"/>
        </w:rPr>
        <w:t>. – количество пролеченных случаев по КЗГ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4: определение объема финансирования по возмещению затрат медицинской организации, оказывающей стационарную и (или) стационарозамещающую помощь в рамках ГОБМП, оплата которым осуществляется по КЗГ, на очередной плановый период: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 мо</w:t>
      </w:r>
      <w:r>
        <w:rPr>
          <w:rFonts w:ascii="Times New Roman"/>
          <w:b w:val="false"/>
          <w:i w:val="false"/>
          <w:color w:val="000000"/>
          <w:sz w:val="28"/>
        </w:rPr>
        <w:t xml:space="preserve">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( Кз </w:t>
      </w:r>
      <w:r>
        <w:rPr>
          <w:rFonts w:ascii="Times New Roman"/>
          <w:b w:val="false"/>
          <w:i w:val="false"/>
          <w:color w:val="000000"/>
          <w:vertAlign w:val="subscript"/>
        </w:rPr>
        <w:t>ср.кзг мо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Кл </w:t>
      </w:r>
      <w:r>
        <w:rPr>
          <w:rFonts w:ascii="Times New Roman"/>
          <w:b w:val="false"/>
          <w:i w:val="false"/>
          <w:color w:val="000000"/>
          <w:vertAlign w:val="subscript"/>
        </w:rPr>
        <w:t>пр.случ мо</w:t>
      </w:r>
      <w:r>
        <w:rPr>
          <w:rFonts w:ascii="Times New Roman"/>
          <w:b w:val="false"/>
          <w:i w:val="false"/>
          <w:color w:val="000000"/>
          <w:sz w:val="28"/>
        </w:rPr>
        <w:t xml:space="preserve">) х К </w:t>
      </w:r>
      <w:r>
        <w:rPr>
          <w:rFonts w:ascii="Times New Roman"/>
          <w:b w:val="false"/>
          <w:i w:val="false"/>
          <w:color w:val="000000"/>
          <w:vertAlign w:val="subscript"/>
        </w:rPr>
        <w:t>попр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 мо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финансирования по возмещению затрат медицинской организации, оказывающей стационарную и (или) стационарозамещающую помощь в рамках ГОБМП, оплата которым осуществляется по КЗГ, на очередной плановый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Кз </w:t>
      </w:r>
      <w:r>
        <w:rPr>
          <w:rFonts w:ascii="Times New Roman"/>
          <w:b w:val="false"/>
          <w:i w:val="false"/>
          <w:color w:val="000000"/>
          <w:vertAlign w:val="subscript"/>
        </w:rPr>
        <w:t>ср.кзг мо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средний коэффициент затратоемкости по КЗГ за отчетный период по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 </w:t>
      </w:r>
      <w:r>
        <w:rPr>
          <w:rFonts w:ascii="Times New Roman"/>
          <w:b w:val="false"/>
          <w:i w:val="false"/>
          <w:color w:val="000000"/>
          <w:vertAlign w:val="subscript"/>
        </w:rPr>
        <w:t>пр.случ мо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пролеченных случаев по КЗГ на очередной плановый период по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>попр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(коэффициент уровня стационара, экологический коэффициент, региональный коэффициент, коэффициент сельской территории и другие коэффициенты), который утверждается уполномоченным органом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5: расчет следующих поправочных коэффициентов: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 работу в сельской местности: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специалистам здравоохранения, работающим в сельских населенных пунктах, устанавливаются повышенная оплата труда, не менее чем на двадцать пять процентов оклада, и тарифные ставки по сравнению с окладами и тарифными ставками специалистов, занимающихся этими видами деятельности в городских условиях в соответствии с Трудовым кодексом Республики Казахстан и приложением 19 "Повышение, доплаты и надбавки, единые для гражданских служащих, работников организаций, содержащихся за счет средств государственного бюджета, работников казенных предприятий" к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который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ст</w:t>
      </w:r>
      <w:r>
        <w:rPr>
          <w:rFonts w:ascii="Times New Roman"/>
          <w:b w:val="false"/>
          <w:i w:val="false"/>
          <w:color w:val="000000"/>
          <w:sz w:val="28"/>
        </w:rPr>
        <w:t xml:space="preserve"> = ПК</w:t>
      </w:r>
      <w:r>
        <w:rPr>
          <w:rFonts w:ascii="Times New Roman"/>
          <w:b w:val="false"/>
          <w:i w:val="false"/>
          <w:color w:val="000000"/>
          <w:vertAlign w:val="subscript"/>
        </w:rPr>
        <w:t>ст</w:t>
      </w:r>
      <w:r>
        <w:rPr>
          <w:rFonts w:ascii="Times New Roman"/>
          <w:b w:val="false"/>
          <w:i w:val="false"/>
          <w:color w:val="000000"/>
          <w:sz w:val="28"/>
        </w:rPr>
        <w:t xml:space="preserve"> х %</w:t>
      </w:r>
      <w:r>
        <w:rPr>
          <w:rFonts w:ascii="Times New Roman"/>
          <w:b w:val="false"/>
          <w:i w:val="false"/>
          <w:color w:val="000000"/>
          <w:vertAlign w:val="subscript"/>
        </w:rPr>
        <w:t>зп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ст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сельский коэффициент специалистам здравоохранения, работающим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</w:t>
      </w:r>
      <w:r>
        <w:rPr>
          <w:rFonts w:ascii="Times New Roman"/>
          <w:b w:val="false"/>
          <w:i w:val="false"/>
          <w:color w:val="000000"/>
          <w:vertAlign w:val="subscript"/>
        </w:rPr>
        <w:t>ст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для специалистов здравоохранения, работающих в сельских населенных пунктах, предусмотренный Трудовым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%зп – средняя доля заработной платы в общем бюджете медицинских организаций, оказывающих медицинские услуги в рамках ГОБМП в соответствующем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экологические: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работникам, проживающим в зонах экологического бедствия, устанавливается коэффициент за проживание в зонах экологического бедствия по зонам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1992 года "О социальной защите граждан, пострадавших вследствие экологического бедствия в Приаралье", который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</w:t>
      </w:r>
      <w:r>
        <w:rPr>
          <w:rFonts w:ascii="Times New Roman"/>
          <w:b w:val="false"/>
          <w:i w:val="false"/>
          <w:color w:val="000000"/>
          <w:vertAlign w:val="subscript"/>
        </w:rPr>
        <w:t>приар</w:t>
      </w:r>
      <w:r>
        <w:rPr>
          <w:rFonts w:ascii="Times New Roman"/>
          <w:b w:val="false"/>
          <w:i w:val="false"/>
          <w:color w:val="000000"/>
          <w:sz w:val="28"/>
        </w:rPr>
        <w:t xml:space="preserve"> = 1 + (ПКэ</w:t>
      </w:r>
      <w:r>
        <w:rPr>
          <w:rFonts w:ascii="Times New Roman"/>
          <w:b w:val="false"/>
          <w:i w:val="false"/>
          <w:color w:val="000000"/>
          <w:vertAlign w:val="subscript"/>
        </w:rPr>
        <w:t>приар</w:t>
      </w:r>
      <w:r>
        <w:rPr>
          <w:rFonts w:ascii="Times New Roman"/>
          <w:b w:val="false"/>
          <w:i w:val="false"/>
          <w:color w:val="000000"/>
          <w:sz w:val="28"/>
        </w:rPr>
        <w:t xml:space="preserve"> - 1) х %зп,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</w:t>
      </w:r>
      <w:r>
        <w:rPr>
          <w:rFonts w:ascii="Times New Roman"/>
          <w:b w:val="false"/>
          <w:i w:val="false"/>
          <w:color w:val="000000"/>
          <w:vertAlign w:val="subscript"/>
        </w:rPr>
        <w:t>приар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экологический коэффициент для работников, проживающих в зонах экологического бедствия Приаралья;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ПКэ</w:t>
      </w:r>
      <w:r>
        <w:rPr>
          <w:rFonts w:ascii="Times New Roman"/>
          <w:b w:val="false"/>
          <w:i w:val="false"/>
          <w:color w:val="000000"/>
          <w:vertAlign w:val="subscript"/>
        </w:rPr>
        <w:t>приар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за проживание в зонах экологического бедствия,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1992 года "О социальной защите граждан, пострадавших вследствие экологического бедствия в Приаралье";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%зп – средняя доля заработной платы в общем бюджете медицинских организаций, оказывающих медицинские услуги в рамках ГОБМП, на территориях зон экологического бедствия.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Работникам, проживающим на территориях ядерного испытания на Семипалатинском ядерном полигоне, устанавливается дополнительная оплата труда по зонам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 которая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</w:t>
      </w:r>
      <w:r>
        <w:rPr>
          <w:rFonts w:ascii="Times New Roman"/>
          <w:b w:val="false"/>
          <w:i w:val="false"/>
          <w:color w:val="000000"/>
          <w:vertAlign w:val="subscript"/>
        </w:rPr>
        <w:t>семип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 + (К-во</w:t>
      </w:r>
      <w:r>
        <w:rPr>
          <w:rFonts w:ascii="Times New Roman"/>
          <w:b w:val="false"/>
          <w:i w:val="false"/>
          <w:color w:val="000000"/>
          <w:vertAlign w:val="subscript"/>
        </w:rPr>
        <w:t>мрп</w:t>
      </w:r>
      <w:r>
        <w:rPr>
          <w:rFonts w:ascii="Times New Roman"/>
          <w:b w:val="false"/>
          <w:i w:val="false"/>
          <w:color w:val="000000"/>
          <w:sz w:val="28"/>
        </w:rPr>
        <w:t xml:space="preserve"> х N</w:t>
      </w:r>
      <w:r>
        <w:rPr>
          <w:rFonts w:ascii="Times New Roman"/>
          <w:b w:val="false"/>
          <w:i w:val="false"/>
          <w:color w:val="000000"/>
          <w:vertAlign w:val="subscript"/>
        </w:rPr>
        <w:t>мрп</w:t>
      </w:r>
      <w:r>
        <w:rPr>
          <w:rFonts w:ascii="Times New Roman"/>
          <w:b w:val="false"/>
          <w:i w:val="false"/>
          <w:color w:val="000000"/>
          <w:sz w:val="28"/>
        </w:rPr>
        <w:t xml:space="preserve"> / ЗПср х %</w:t>
      </w:r>
      <w:r>
        <w:rPr>
          <w:rFonts w:ascii="Times New Roman"/>
          <w:b w:val="false"/>
          <w:i w:val="false"/>
          <w:color w:val="000000"/>
          <w:vertAlign w:val="subscript"/>
        </w:rPr>
        <w:t>зп</w:t>
      </w:r>
      <w:r>
        <w:rPr>
          <w:rFonts w:ascii="Times New Roman"/>
          <w:b w:val="false"/>
          <w:i w:val="false"/>
          <w:color w:val="000000"/>
          <w:sz w:val="28"/>
        </w:rPr>
        <w:t>),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</w:t>
      </w:r>
      <w:r>
        <w:rPr>
          <w:rFonts w:ascii="Times New Roman"/>
          <w:b w:val="false"/>
          <w:i w:val="false"/>
          <w:color w:val="000000"/>
          <w:vertAlign w:val="subscript"/>
        </w:rPr>
        <w:t>семип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экологический коэффициент работникам, проживающим на территориях ядерного испытания на Семипалатинском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К-во</w:t>
      </w:r>
      <w:r>
        <w:rPr>
          <w:rFonts w:ascii="Times New Roman"/>
          <w:b w:val="false"/>
          <w:i w:val="false"/>
          <w:color w:val="000000"/>
          <w:vertAlign w:val="subscript"/>
        </w:rPr>
        <w:t>мрп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месячных расчетных показателей, предусмотренных в качестве надбавки к заработной плате для жителей проживающим на территориях ядерного испытания на Семипалатинском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мрп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размер месячного расчетного показателя, предусмотренный на соответствующий год Законом о государственном бюджете на соответствующие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ЗП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заработная плата на территориях ядерного испытания на Семипалатинском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%зп – доля заработной платы в общем бюджете медицинских организаций, оказывающих медицинские услуги в рамках ГОБМП, на территориях зон ядерного испытания на Семипалатинском ядерном полигоне.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длительности отопительного сезона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ос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ПКд</w:t>
      </w:r>
      <w:r>
        <w:rPr>
          <w:rFonts w:ascii="Times New Roman"/>
          <w:b w:val="false"/>
          <w:i w:val="false"/>
          <w:color w:val="000000"/>
          <w:vertAlign w:val="subscript"/>
        </w:rPr>
        <w:t>ос</w:t>
      </w:r>
      <w:r>
        <w:rPr>
          <w:rFonts w:ascii="Times New Roman"/>
          <w:b w:val="false"/>
          <w:i w:val="false"/>
          <w:color w:val="000000"/>
          <w:sz w:val="28"/>
        </w:rPr>
        <w:t xml:space="preserve"> х %КПР,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ос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длительности отопительного сезона;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ПКд</w:t>
      </w:r>
      <w:r>
        <w:rPr>
          <w:rFonts w:ascii="Times New Roman"/>
          <w:b w:val="false"/>
          <w:i w:val="false"/>
          <w:color w:val="000000"/>
          <w:vertAlign w:val="subscript"/>
        </w:rPr>
        <w:t>ос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длительности отопительного сезона за предыдущий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%КПР – доля коммунальных и прочих расходов в общих расходах медицинских организаций, оказывающих медицинские услуги в рамках ГОБМП;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уровня стационара: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уровня стационара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ус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Мод</w:t>
      </w:r>
      <w:r>
        <w:rPr>
          <w:rFonts w:ascii="Times New Roman"/>
          <w:b w:val="false"/>
          <w:i w:val="false"/>
          <w:color w:val="000000"/>
          <w:vertAlign w:val="subscript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>/План</w:t>
      </w:r>
      <w:r>
        <w:rPr>
          <w:rFonts w:ascii="Times New Roman"/>
          <w:b w:val="false"/>
          <w:i w:val="false"/>
          <w:color w:val="000000"/>
          <w:vertAlign w:val="subscript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ус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уровня стационара;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</w:t>
      </w:r>
      <w:r>
        <w:rPr>
          <w:rFonts w:ascii="Times New Roman"/>
          <w:b w:val="false"/>
          <w:i w:val="false"/>
          <w:color w:val="000000"/>
          <w:vertAlign w:val="subscript"/>
        </w:rPr>
        <w:t>финн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моделированное финансирование, полученное применением групп КЗГ и базовой ставки к пролеченным случаям стационара в анализируемом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</w:t>
      </w:r>
      <w:r>
        <w:rPr>
          <w:rFonts w:ascii="Times New Roman"/>
          <w:b w:val="false"/>
          <w:i w:val="false"/>
          <w:color w:val="000000"/>
          <w:vertAlign w:val="subscript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исторически сложившиеся расходы с учетом особенностей условий оказания медицинских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Комплексный тариф на одного онкологического больного определяется путем деления суммы годового объема финансирования на количество онкологических больных, зарегистрированных в Онкорегистре по состоянию на начало года, и поделенный на 12 (двенадцать) месяцев определяется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</w:t>
      </w:r>
      <w:r>
        <w:rPr>
          <w:rFonts w:ascii="Times New Roman"/>
          <w:b w:val="false"/>
          <w:i w:val="false"/>
          <w:color w:val="000000"/>
          <w:vertAlign w:val="subscript"/>
        </w:rPr>
        <w:t>онко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= (О</w:t>
      </w:r>
      <w:r>
        <w:rPr>
          <w:rFonts w:ascii="Times New Roman"/>
          <w:b w:val="false"/>
          <w:i w:val="false"/>
          <w:color w:val="000000"/>
          <w:vertAlign w:val="subscript"/>
        </w:rPr>
        <w:t>финонко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Кл</w:t>
      </w:r>
      <w:r>
        <w:rPr>
          <w:rFonts w:ascii="Times New Roman"/>
          <w:b w:val="false"/>
          <w:i w:val="false"/>
          <w:color w:val="000000"/>
          <w:vertAlign w:val="subscript"/>
        </w:rPr>
        <w:t>онко</w:t>
      </w:r>
      <w:r>
        <w:rPr>
          <w:rFonts w:ascii="Times New Roman"/>
          <w:b w:val="false"/>
          <w:i w:val="false"/>
          <w:color w:val="000000"/>
          <w:sz w:val="28"/>
        </w:rPr>
        <w:t>) / 12,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</w:t>
      </w:r>
      <w:r>
        <w:rPr>
          <w:rFonts w:ascii="Times New Roman"/>
          <w:b w:val="false"/>
          <w:i w:val="false"/>
          <w:color w:val="000000"/>
          <w:vertAlign w:val="subscript"/>
        </w:rPr>
        <w:t>онко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комплексный тариф на одного онкологического больного;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</w:t>
      </w:r>
      <w:r>
        <w:rPr>
          <w:rFonts w:ascii="Times New Roman"/>
          <w:b w:val="false"/>
          <w:i w:val="false"/>
          <w:color w:val="000000"/>
          <w:vertAlign w:val="subscript"/>
        </w:rPr>
        <w:t>онко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онкологических больных, зарегистрированных в Онкорегистре;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финонко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годового объема финансирования на очередной плановый период определяется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финонко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= Кт</w:t>
      </w:r>
      <w:r>
        <w:rPr>
          <w:rFonts w:ascii="Times New Roman"/>
          <w:b w:val="false"/>
          <w:i w:val="false"/>
          <w:color w:val="000000"/>
          <w:vertAlign w:val="subscript"/>
        </w:rPr>
        <w:t>онко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Кл</w:t>
      </w:r>
      <w:r>
        <w:rPr>
          <w:rFonts w:ascii="Times New Roman"/>
          <w:b w:val="false"/>
          <w:i w:val="false"/>
          <w:color w:val="000000"/>
          <w:vertAlign w:val="subscript"/>
        </w:rPr>
        <w:t>онко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х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</w:t>
      </w:r>
      <w:r>
        <w:rPr>
          <w:rFonts w:ascii="Times New Roman"/>
          <w:b w:val="false"/>
          <w:i w:val="false"/>
          <w:color w:val="000000"/>
          <w:vertAlign w:val="subscript"/>
        </w:rPr>
        <w:t>онко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комплексный тариф на одного онкологического больного;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</w:t>
      </w:r>
      <w:r>
        <w:rPr>
          <w:rFonts w:ascii="Times New Roman"/>
          <w:b w:val="false"/>
          <w:i w:val="false"/>
          <w:color w:val="000000"/>
          <w:vertAlign w:val="subscript"/>
        </w:rPr>
        <w:t>онко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онкологических больных, зарегистрированных в Онкорегистре;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планировании затрат коммунальные и прочие расходы предусмотрены в следующих тарифах: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медицинских организаций, оказывающих стационарную и (или) стационарозамещающую помощь, оплата которым осуществляется по КЗГ оплата за оказанные медицинские услуги, которым осуществляется по тарифу КЗГ;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медицинских организаций, оказывающих специализированную медицинскую помощь в форме стационарной помощи, оплата которым осуществляется за один койко-день;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медицинских организаций, оказывающих специализированную медицинскую помощь в форме стационарной помощи, оплата которым осуществляется за один пролеченный случай.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оказании стационарной помощи медицинскими организациями, оказывающими стационарную и (или) стационарозамещающую помощь, оплата которым осуществляется по медико-экономическим тарифам, оплата коммунальных и прочих расходов производится по региональным тарифам, при лечении в дневном стационаре производится из расчета 1/6 от регионального тарифа.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Тариф за один пролеченный случай дневного стационара составляет 1/4 от тарифа за один пролеченный случай стационарной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Тариф за один пролеченный случай стационара на дому составляет 1/6 от тарифа за один пролеченный случай стационарной помощи.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 Скорая медицинская помощь и санитарная авиация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Тариф за один вызов скорой медицинской помощи определяется как отношение объема финансирования на очередной плановый период по возмещению затрат организации здравоохранения, оказывающей скорую медицинскую помощь, к количеству оказанных медицинских услуг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= О</w:t>
      </w:r>
      <w:r>
        <w:rPr>
          <w:rFonts w:ascii="Times New Roman"/>
          <w:b w:val="false"/>
          <w:i w:val="false"/>
          <w:color w:val="000000"/>
          <w:vertAlign w:val="subscript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Кл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за один вызов;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финансирования на очередной плановый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оказанных медицинских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Услуги санитарной авиации рассчитываются по тарифам на транспортные и медицинские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на медицинские услуги определяется как отношение объема финансирования на очередной плановый период по возмещению затрат медицинской услуги санитарной авиации к количеству планируемых часов оказания медицинских услуг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му</w:t>
      </w:r>
      <w:r>
        <w:rPr>
          <w:rFonts w:ascii="Times New Roman"/>
          <w:b w:val="false"/>
          <w:i w:val="false"/>
          <w:color w:val="000000"/>
          <w:sz w:val="28"/>
        </w:rPr>
        <w:t xml:space="preserve"> = О </w:t>
      </w:r>
      <w:r>
        <w:rPr>
          <w:rFonts w:ascii="Times New Roman"/>
          <w:b w:val="false"/>
          <w:i w:val="false"/>
          <w:color w:val="000000"/>
          <w:vertAlign w:val="subscript"/>
        </w:rPr>
        <w:t>фин мп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Кл</w:t>
      </w:r>
      <w:r>
        <w:rPr>
          <w:rFonts w:ascii="Times New Roman"/>
          <w:b w:val="false"/>
          <w:i w:val="false"/>
          <w:color w:val="000000"/>
          <w:vertAlign w:val="subscript"/>
        </w:rPr>
        <w:t>ч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му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за час медицинской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>фин мп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финансирования на очередной плановый период по возмещению затрат медицинской услуги санитарной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</w:t>
      </w:r>
      <w:r>
        <w:rPr>
          <w:rFonts w:ascii="Times New Roman"/>
          <w:b w:val="false"/>
          <w:i w:val="false"/>
          <w:color w:val="000000"/>
          <w:vertAlign w:val="subscript"/>
        </w:rPr>
        <w:t>ч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планируемых часов оказания медицинских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на транспортные услуги санитарной авиации включает расходы, связанные с транспортировкой квалифицированных специалистов и (или) больного различными видами транспорта и определяется по средней стоимости предложений потенциальных поставщиков.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3.4. Возмещение лизинговых платежей организациям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здравоохранения, оказывающим медицинские услуги на медицинской</w:t>
      </w:r>
      <w:r>
        <w:br/>
      </w:r>
      <w:r>
        <w:rPr>
          <w:rFonts w:ascii="Times New Roman"/>
          <w:b/>
          <w:i w:val="false"/>
          <w:color w:val="000000"/>
        </w:rPr>
        <w:t>технике, приобретенной на условиях финансового лизинга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Олп = Офакт х ЛП/Оплан,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Олп - объем финансирования по возмещению лизинговых платежей организациям здравоохранения по лизингу;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Офакт - объем медицинских услуг, фактически оказанных на медицинской технике, приобретенной на условиях финансового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ЛП - размер лизингового платежа, определенный договором финансового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Оплан - объем медицинских услуг, планируемых оказать на медицинской технике, приобретенной на условиях финансового лизинга, определяется организацией здравоохранения по лизингу, но не менее, определенного по нижеследующей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Оплан = Дгод х Удень,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Дгод - количество рабочих дней в году по производственному календарю Республики Казахстан на текущий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Удень - количество медицинских услуг, оказанных за один рабочий день, которое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Удень = Враб/(Нср х Р),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Враб - рабочее время в минутах;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Нср - средний норматив времени выполнения одной услуги с помощью медицинской техники, определяемый уполномоченным органом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количество результатов, полученных за один цикл работы медицинской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медицинских услуг с помощью реанимационного оборудования и оборудования, применяемого для хирургического и инвазивного вмешательства, Удень = 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планирования затрат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 помощи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Половозрастные поправочные коэффициенты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4054"/>
        <w:gridCol w:w="3293"/>
      </w:tblGrid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поправочные коэффициенты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 месяцев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 - 4 года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лет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лет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20-29 лет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60-69 лет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и старше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планирования затрат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 помощи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Индикаторы оценки достигнутых результатов работы</w:t>
      </w:r>
      <w:r>
        <w:br/>
      </w:r>
      <w:r>
        <w:rPr>
          <w:rFonts w:ascii="Times New Roman"/>
          <w:b/>
          <w:i w:val="false"/>
          <w:color w:val="000000"/>
        </w:rPr>
        <w:t>организаций первичной медико-санитарной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3523"/>
        <w:gridCol w:w="2763"/>
        <w:gridCol w:w="1252"/>
        <w:gridCol w:w="2452"/>
        <w:gridCol w:w="1251"/>
      </w:tblGrid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считать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Числитель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предотвратимая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ПМСП*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 смерти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предотвратимых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прикрепленных ЖФВ**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ЖФВ**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 ЖФВ** с ЭГП*****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ЖФВ с ЭГП****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абортов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отношению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абортов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смертность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дней до 5 лет,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предотвратимая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ПМСП* от 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ОРИ******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 в возрасте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дней до 5 лет,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предотвратимой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ПМСП* от 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ОРИ******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 от 7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диагностированный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туберкулеза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 легких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 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туберкулеза легких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стадии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 случаев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локализаций 3-4 стадии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с диагнозом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осложнениями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сердечнососудистой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миокарда,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сердечно-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сосудистой системы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гипертензия, инфаркт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миокарда, инсульт –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стационаре из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сердечнососудистой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системы, из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стационар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отношению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 в дневном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стационаре 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стационаре на дому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дневном стационаре,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стационаре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стационаре из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обострениями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 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управляемыми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ПМСП*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обострениями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 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управляемыми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ПМСП*,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 из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3"/>
        <w:gridCol w:w="4295"/>
        <w:gridCol w:w="2145"/>
        <w:gridCol w:w="9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МО****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 в квартал,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год)</w:t>
            </w:r>
          </w:p>
        </w:tc>
      </w:tr>
      <w:tr>
        <w:trPr>
          <w:trHeight w:val="30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смерти,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ККМФД*** о предотвратимости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ПМСП*. 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2009/у-02 "Карта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смертности", утвержденная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22.12.2008 года № 665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мониторинге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родившихся,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детей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года, материнской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смертности" (далее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№ 665)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ЖФВ**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лет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стационарных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госпитализации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беременных ЖФВ**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ЭГП**** по кодам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МКБ-10*****, указанным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№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Методике. Форма № 066/у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"Статистическая карта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выбывшего из стационара",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23.11.2010 года № 907 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здравоохранения" (далее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Ф.№ 066/у)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диагноз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О,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 МКБ-10*****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O85-O92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предыдущим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стационарных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 по кодам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МКБ-10*****, указанным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 Методике.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Ф.№ 066/у, основной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по кодам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МКБ-10*****,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 Методике,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 кодам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МКБ-10***** О80-О84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предыдущим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смерти из формы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2009/у-01 "Карта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родившегося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живым, мертворожденного,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умершего ребенка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 до 1 года",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приказом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 расширенной до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лет, по причинам смерти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кодов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МКБ-10*****, указанных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население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 от 7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предыдущим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регистр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туберкулезом,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несвоевременного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диагностирования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туберкулеза, указанных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№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 Методике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предыдущим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Онкорегистр, впервые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случаи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визуальной локализаций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стадии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кодам МКБ-10*****,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к Методике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Онкорегистр,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МКБ-10******,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таблице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на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стационарных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066/у, основной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по кодам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МКБ-10*****, указанным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 Методике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диагноз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МКБ-10*****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I10-I79.8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10 %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стационарных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066-4/у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066/у,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5%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</w:tr>
      <w:tr>
        <w:trPr>
          <w:trHeight w:val="30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стационарных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066/у, основной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по кодам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МКБ-10**, указанным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Приказу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5%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ККМФД***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общая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5%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ПМСП – первичная медико-санитарная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ЖФВ – женщины фертильного возраста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ККМФД - Комитет контроля медицинской и фармацевтической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ЭГП - экстрагенитальная патология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МКБ-10 – Международная классификация болезней 10-го пересмотра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ОКИ ОРИ – острая кишечная инфекция, острая респираторная инфекция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планирования затрат на медицинские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 помощи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Перечни кодов Международной классификации болезней, учитываемые</w:t>
      </w:r>
      <w:r>
        <w:br/>
      </w:r>
      <w:r>
        <w:rPr>
          <w:rFonts w:ascii="Times New Roman"/>
          <w:b/>
          <w:i w:val="false"/>
          <w:color w:val="000000"/>
        </w:rPr>
        <w:t>при расчете индикаторов оценки достигнутых результатов работы</w:t>
      </w:r>
      <w:r>
        <w:br/>
      </w:r>
      <w:r>
        <w:rPr>
          <w:rFonts w:ascii="Times New Roman"/>
          <w:b/>
          <w:i w:val="false"/>
          <w:color w:val="000000"/>
        </w:rPr>
        <w:t>организации первичной медико-санитарной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1. Перечень кодов Международной классификации болезней (далее – МКБ-10) для заболеваний, учитываемых при расчете индикатора "Детская смертность от 7 дней до 5 лет, предотвратимая на уровне ПМСП* от ОКИ ОРИ"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3142"/>
        <w:gridCol w:w="8384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МКБ-10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болезней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A02 - A04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сальмонелеззные инфекции, шигелез, другие бактериальные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инфекции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A08 - A09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и другие уточненные кишечные инфекции, диарея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гастроэнтерит предположительно инфекционного происхождения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J00 - J22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назофарингит (насморк), острый синусит, острый фарингит,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тонзиллит, острый ларингит и трахеит, острый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обструктивный ларингит (круп) и эпиглоттит, острые инфекции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верхних дыхательных путей множественной и неуточненной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локализации, грипп, вызванный идентифицированным вирусом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гриппа, грипп, вирус не идентифицирован, вирусная пневмония,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классифицированная в других рубриках,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streptococcus pneumoniae, пневмония,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вызванная haemophilus influenzae (палочкой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афанасьева-пфейффера), бактериальная пневмония,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классифицированная в других рубриках, пневмония, вызванная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инфекционными агентами, не классифицированная в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рубриках, пневмония при болезнях, классифицированных в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рубриках, пневмония без уточнения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возбудителя, острый бронхит, острый бронхиолит, острая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респираторная инфекция нижних дыхательных путей неуточненная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диарея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2. Перечень кодов МКБ-10 для заболеваний, учитываемых при расчете индикатора "Беременность женщин с ЭГП"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5567"/>
        <w:gridCol w:w="5574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МКБ-10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болезней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А15, А16, А17,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А18, А19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 активного распространненного легочного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внелегочного туберкулезного процесса с осложнениями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С00-97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настоящем злокачественного новообразования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локализаций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D60-61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D68.2-68.9,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D69.1, D69.6-69.9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 рецидивирующие или тяжело протекающие пурпура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геморрагические состояния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F01-03, F05.1,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F06.0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органические, включая симптоматические, психические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F10.5- F10.7,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F11.5- F11.7,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F12.5- F12.7,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F13.5- F13.7,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F14.5- F14.7,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F15.5- F15.7,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F16.5- F16.7,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F17.5- F17.7,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F18.5- F18.7,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F19.5- F19.7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F20.0, F20.1,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F20.2, F22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шизофрения, шизотипические и бредовые расстройства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F71-73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G40-41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с развитием психических нарушений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В69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цистицеркоз, наследственные нервно-мышечные заболевания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G30-32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заболевания ЦНС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G12.2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нейрона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G35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G37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демиелинизирующие заболевания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G70, 73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 и миастенические синдромы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G61.0, 61.8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(Гийена-Барре) и хронические воспалительные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заболевания, нарколепсия, каталепсия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Н46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неврит зрительного нерва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Н47.0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ишемическая двухсторонняя нейропатия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Н36.0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рецидивирующий гемофтальм на фоне диабетической ретинопатии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рецидивирующий гемофтальм на фоне гипертонической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ретинопатии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I50.0-50.1,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I50.9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и приобретенные пороки сердца, осложнившиеся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хронической сердечной недостаточностью III-IV ст. по NYHA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жизнеугрожающими нарушениями ритма и проводимости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I11.0, I12.0,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I13.0-113.2,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I13.9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гипертоническая болезнь, II-III ст. и злокачественное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I25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сердца, не корригированная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(консервативными или хирургическими методами)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I27.0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 с развитием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сердечно-легочной недостаточности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I50.0-50.1, I50.9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 III-IV ст. по NYHA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любой этиологии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I33.0, I33.9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 подострый эндокардит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I40, I42, I46,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миокардиты, кардиомиопатии, осложненные хронической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сердечной недостаточностью III-IV по NYHA,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протезирования клапанов сердца с признаками сердечной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недостаточности III-IV по NYHA и (или) жизнеугрожающими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 ритма и проводимости сердца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I49, I46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жизнеугрожающие нарушения сердечного ритма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I71.0-71.9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и расслоение аорты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I01.0-01.2,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I01.8 - I01.9,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I27.0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митральной комиссуротомии с возникновением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рестеноза, сердечной недостаточностью III-IV ст. по NYHA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жизнеугрожающими нарушениями сердечного ритма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проводимости, наличием легочной гипертензии и обострения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ревматизма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J45, J96.1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астма, тяжелое течение, неконтролируемая, ДН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степени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буллезная эмфизема, ДН III степени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Q33.6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кистозная гипоплазия легких, распространенная форма,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течение, ДН III степени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J47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бронхоэктатическая болезнь легких, ДН III степени,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лимфангиолейомиоматоз легких, ДН III степени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J84.9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фиброзирующий альвеолит, ДН III степени,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гипертензия, ДН III степени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К22.2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сужение и стеноз пищевода, искусственный пищевод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пищевода - ГЭРБ, осложненная язвой, стриктурой,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пищевод Баррета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К31.2, 31.5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желудка и двенадцатиперстной кишки – язвенная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осложненная кровотечением, стеноз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хирургического лечения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К50.8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в стадии обострения (в стадии ремиссии решать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индивидуальном порядке)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К71.2, K71.5,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K71.7, K71.9,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K74.6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и хронические заболевания печени в стадии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обострения, тяжелое течение; цирроз печени,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декомпенсированный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86.1, 86.6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панкреатит с выраженным нарушением секреторной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и синдромом нарушения всасывания тяжелой степени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(стадия фиброза)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N00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острый гломерулонефрит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нефропатия IV, V ст.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O98- O99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болезни матери,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классифицированные в других рубриках, но осложняющие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беременность, роды и послеродовой период, другие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матери, классифицированные в других рубриках,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осложняющие беременность, роды и послеродовой период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O24.0, O24.1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 инсулинзависимый,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 инсулиннезависимый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3. Перечень кодов МКБ-10 для заболеваний, учитываемых при расчете индикатора "Уровень абортов по отношению к родам"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8190"/>
        <w:gridCol w:w="2898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МКБ-10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болезней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O02.0, O02.1,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O02.8, O02.9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Погибшее плодное яйцо и непузырный занос. Несостоявшийся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выкидыш. Другие уточненные анормальные продукты зачатия.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Анормальный продукт зачатия неуточненный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O07-O07.9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аборта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4. Перечень кодов МКБ-10 для заболеваний, учитываемых при расчете индикаторов "Несвоевременно диагностированный туберкулез легких"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Осложненными случаями туберкулеза должны считать впервые выявленных больных туберкулезом со следующими клиническими формами: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подострый и хронический диссеминированный туберкулез (берется из заключительного клинического диагноза карты ТБ01 - коды 07, 08, 09, 10);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казеозная пневмония (берется из заключительного клинического диагноза карты ТБ01 - коды 15, 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фиброзно-кавернозный туберкулез (берется из заключительного клинического диагноза карты ТБ01 - коды 21, 22);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деструктивные изменения в легких или бактериовыделение;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кодов МКБ-10 для заболеваний, учитываемых в знаменателе данного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9"/>
        <w:gridCol w:w="3172"/>
        <w:gridCol w:w="6139"/>
      </w:tblGrid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диагноза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Регистру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туберкулезом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МКБ-10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туберкулезный комплекс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бактериовыделением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A15.7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туберкулезный комплекс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бактериовыделения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A16.7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 внутригрудных лимфатических узлов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бактериовыделением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A15.4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 внутригрудных лимфатических узлов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бактериовыделения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A16.3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острый ТБ легких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бактериовыделением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острый ТБ легких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бактериовыделения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подострый ТБ легких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бактериовыделением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подострый ТБ легких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бактериовыделения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хронический ТБ легких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бактериовыделением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хронический ТБ легких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бактериовыделения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Очаговый ТБ легких с бактериовыделением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Очаговый ТБ легких без бактериовыделения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Инфильтративный ТБ легких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бактериовыделением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Инфильтративный ТБ легких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бактериовыделения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Казеозная пневмония с бактериовыделением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Казеозная пневмония без бактериовыделения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Туберкулома легких с бактериовыделением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Кавернозный ТБ легких с бактериовыделением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Кавернозный ТБ легких без бактериовыделения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Фиброзно-кавернозный ТБ легких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бактериовыделением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Фиброзно-кавернозный ТБ легких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бактериовыделения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Цирротический ТБ легких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бактериовыделением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Цирротический ТБ легких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бактериовыделения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Милиарный ТБ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ТБ одной уточненной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A19.0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ТБ множественной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A19.1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ТБ неуточненной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A19.2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милиарного туберкулеза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A19.8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Милиарный ТБ неуточненной локализации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A19.9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менингит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5. Перечень топографии опухолей визуальной локализации по кодам Международной классификации топографии и морфологии опухолей (далее – МКБ-О) для заболеваний, учитываемых при расчете индикатора "Впервые выявленные случаи с диагнозом злокачественного новообразования визуальной локализации 3-4 стадии"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7"/>
        <w:gridCol w:w="3833"/>
        <w:gridCol w:w="5540"/>
      </w:tblGrid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МКБ-О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болезней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Губа, исключая кожу губы (С44.0)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Наружная поверхность верхней губы 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Наружная поверхность нижней губы 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поверхность губы,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Слизистая оболочка верхней губы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Слизистая нижней губы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Слизистая губы,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Комиссура губ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губ, выходящее за пределыодной 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языка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неутонченные отделы языка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поверхность языка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Боковая поверхность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поверхность языка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Передние 2/3 языка,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Язычная миндалина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языка, выходящие за пределы указанной 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 верхней челюсти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 нижней челюсти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 полости рта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отдел дна полости рта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отдел дна полости рта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дна полости рта, выходящее за пределы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 полости рта,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 небо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небо, бду (исключая носоглоточную поверхность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мягкого неба, с11.3)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Язычок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неба, выходящее за 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отделы полости рта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Слизистая оболочка щеки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Преддверие рта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Ретромолярная область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других и неуточненных отделов полости 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выходящее за пределы одной локализации 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Околоушная железа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большие слюнные железы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Поднижечелюстная железа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Подъязычковая железа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больших слюнных желез, выходящее за пределы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слюнная железа,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Миндалина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Миндаликовая ямка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Миндаликовая дужка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миндалины, выходящее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одной или более локализаций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Миндалина,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Ротоглотка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Боковая стенка ротоглотки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стенка ротоглотки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Жаберная щель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ротоглотки, выходящее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Ротоглотка,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кишка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Анальный канал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проход,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Анальный канал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Клоакогенная зона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прямой кишки заднего прохода и анального канала,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выходящее за 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губы,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ухо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других и неуточненных отделов лица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туловища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верхней конечности и плеча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нижней конечности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тазобедренной области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кожи, выходящее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железа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Сосок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молочной железы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Верхневнутренний квадрант молочной железы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Нижневнутренний квадрант молочной железы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Верхненаружный квадрант молочной железы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Нижненаружный квадрант молочной железы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Подмышечная доля молочной железы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молочной железы, выходящее за пределы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железа,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Вульва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половая губа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половая губа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Клитор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вульвы, выходящее за 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Вульва,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Влагалище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Шейка матки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часть шейки матки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часть шейки матки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шейки матки, выходящее за пределы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Шейка матки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Половой член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плоть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полового члена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 полового члена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полового члена, выходящее за пределы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Половой член,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Неопустившееся яичко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Опустившееся яичко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Яичко,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Мошонка,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Лимфатические узлы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Лимфатические узлы, головы, лица, шеи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Лимфатические узлы подмышечной ямки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Лимфатические узлы паховой области ноги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Лимфатические узлы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Лимфатический узел,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С73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Щитовидная железа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С73.9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Щитовидная железа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№ 6. Перечень кодов МКБ-10 для заболеваний, учитываемых при расчете индикатора "Уровень госпитализации больных с осложнениями заболеваний сердечнососудистой системы - артериальная гипертензия, инфаркт миокарда, инсульт":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5"/>
        <w:gridCol w:w="6607"/>
        <w:gridCol w:w="3468"/>
      </w:tblGrid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МКБ-10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болезней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болезнь сердца (гипертоническая болезнь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преимущественным поражением сердца)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I11.0-I11.9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поражением сердца с (застойной) сердечной недостаточностью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I12.0-I12.9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поражением почек, Гипертензивная (гипертоническая) болезнь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преимущественным поражением почек без почечной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недостаточности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I13.0-I13.9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поражением сердца и почек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поражением сердца и почек с (застойной) сердечной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(гипертоническая_ болезнь с преимущественным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поражением почек с почечной недостаточностью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поражением сердца и почек с (застойной) сердечной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и почечной недостаточностью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поражением сердца и почек неуточненная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I20.0-I20.9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(грудная жаба)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стенокардия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с документально подтвержденным спазмом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стенокардии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неуточненная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I21.0-I21.4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передней стенки миокарда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нижней стенки миокарда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других уточненных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неуточненной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субэндокардиальный инфаркт миокарда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I60.0-I60.9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каротидного синуса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бифуркации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средней мозговой артерии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передней соединительной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задней соединительной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базилярной артерии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позвоночной артерии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других внутричерепных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внутричерепной артерии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субарахноидальное кровоизлияние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неуточненное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I61.0-I61.9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субкортикальное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кортикальное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неуточненное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ствол мозга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мозжечок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внутрижелудочковое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множественной локализации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внутримозговое кровоизлияние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неуточненное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I62.9, I62,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нетравматическое внутричерепное кровоизлияние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Субдуральное кровоизлияние (острое) (нетравматическое)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Нетравматическое экстрадуральное кровоизлияние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Внутричерепное кровоизлияние (нетравматическое) неуточненное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I63.0-I63.9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прецеребральных 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эмболией прецеребральных 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неуточненной закупоркой или стенозом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прецеребральных 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мозговых 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эмболией мозговых 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неуточненной закупоркой или стенозом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мозговых 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вен мозга, непиогенный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инфаркт мозга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 неуточненный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7. Перечень кодов МКБ-10 для заболеваний, учитываемых при расчете индикатора "Уровень госпитализации больных с обострениями хронических заболеваний, не требующих госпитализации в круглосуточный стационар, и с состояниями, управляемыми на уровне ПМСП":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7155"/>
        <w:gridCol w:w="3890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МКБ-10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болезней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50 - G 64;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70 - G 73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нервов, нервных корешков и сплетений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10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15 -V 19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N12, N15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Тубулоинтерстициальные болезни почек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О0- О99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(O85-O92)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Подростковая беременность (в возрасте до 18 лет)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планирования затрат на медицинские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 помощи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максимально возможных баллов в разрезе профилей</w:t>
      </w:r>
      <w:r>
        <w:br/>
      </w:r>
      <w:r>
        <w:rPr>
          <w:rFonts w:ascii="Times New Roman"/>
          <w:b/>
          <w:i w:val="false"/>
          <w:color w:val="000000"/>
        </w:rPr>
        <w:t>специальностей*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729"/>
        <w:gridCol w:w="2051"/>
        <w:gridCol w:w="2051"/>
        <w:gridCol w:w="2052"/>
        <w:gridCol w:w="1667"/>
        <w:gridCol w:w="1667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индикатора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тики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певти-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дневного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онара**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предотвратимая на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медико-санитарной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 женщин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фертильного возраста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экстрогенитальной патологией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абортов по отношению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смертность от 7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лет, предотвратимая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первичной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острых кишечных инфекции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острых респираторных инфекций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диагностированный туберкулез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 случаи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визуальной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локализаций 3-4 стадии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осложнениями заболеваний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сердечнососудистой системы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инфаркт миокарда, инсульт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стационар и стационар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по отношению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круглосуточному стационару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обострениями хронических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заболеваний, не 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 стационар, 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состояниями, управляемыми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ПМСП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обоснованных жалоб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максимальный балл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28,00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24,00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1,17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1,33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 учетом весового коэффициента (ВК) согласно приложению 2 к Методике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**врачи (врачи общей практики, участковые терапевты и педиатры, профильные специалисты) оказывающие медицинскую помощь в дневном стационаре в организациях амбулаторно-поликлинической помощи, стационаре на дому и (или) направившие на госпитализацию в дневной стационар организации здравоохранения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