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5c9d" w14:textId="5f25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ограниченных мер воздействия к субъекту рынка ценных бумаг и (или) лицу, обладающему признаками крупного участника, крупному участнику организации, осуществляющей инвестиционное управление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апреля 2012 года № 167. Зарегистрировано в Министерстве юстиции Республики Казахстан 12 июня 2012 года № 7736. Утратило силу постановлением Правления Национального Банка Республики Казахстан от 26 июля 2013 года № 183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26.07.2013 </w:t>
      </w:r>
      <w:r>
        <w:rPr>
          <w:rFonts w:ascii="Times New Roman"/>
          <w:b w:val="false"/>
          <w:i w:val="false"/>
          <w:color w:val="ff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 июля 2003 года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ограниченных мер воздействия к субъекту рынка ценных бумаг и (или) лицу, обладающему признаками крупного участника, крупному участнику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марта 2007 года № 68 «Об утверждении Правил применения ограниченных мер воздействия к субъектам рынка ценных бумаг» (зарегистрированное в Реестре государственной регистрации нормативных правовых актов под № 4669).</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br/>
      </w:r>
      <w:r>
        <w:rPr>
          <w:rFonts w:ascii="Times New Roman"/>
          <w:b w:val="false"/>
          <w:i w:val="false"/>
          <w:color w:val="000000"/>
          <w:sz w:val="28"/>
        </w:rPr>
        <w:t>
      </w:t>
      </w:r>
      <w:r>
        <w:rPr>
          <w:rFonts w:ascii="Times New Roman"/>
          <w:b w:val="false"/>
          <w:i/>
          <w:color w:val="000000"/>
          <w:sz w:val="28"/>
        </w:rPr>
        <w:t>Национального Банка</w:t>
      </w:r>
      <w:r>
        <w:rPr>
          <w:rFonts w:ascii="Times New Roman"/>
          <w:b w:val="false"/>
          <w:i w:val="false"/>
          <w:color w:val="000000"/>
          <w:sz w:val="28"/>
        </w:rPr>
        <w:t>                        </w:t>
      </w:r>
      <w:r>
        <w:rPr>
          <w:rFonts w:ascii="Times New Roman"/>
          <w:b w:val="false"/>
          <w:i/>
          <w:color w:val="000000"/>
          <w:sz w:val="28"/>
        </w:rPr>
        <w:t>Г. Марченко</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апреля 2012 года № 167</w:t>
      </w:r>
    </w:p>
    <w:bookmarkEnd w:id="2"/>
    <w:bookmarkStart w:name="z6" w:id="3"/>
    <w:p>
      <w:pPr>
        <w:spacing w:after="0"/>
        <w:ind w:left="0"/>
        <w:jc w:val="left"/>
      </w:pPr>
      <w:r>
        <w:rPr>
          <w:rFonts w:ascii="Times New Roman"/>
          <w:b/>
          <w:i w:val="false"/>
          <w:color w:val="000000"/>
        </w:rPr>
        <w:t xml:space="preserve"> 
Правила</w:t>
      </w:r>
      <w:r>
        <w:br/>
      </w:r>
      <w:r>
        <w:rPr>
          <w:rFonts w:ascii="Times New Roman"/>
          <w:b/>
          <w:i w:val="false"/>
          <w:color w:val="000000"/>
        </w:rPr>
        <w:t>
применения ограниченных мер воздействия к субъекту</w:t>
      </w:r>
      <w:r>
        <w:br/>
      </w:r>
      <w:r>
        <w:rPr>
          <w:rFonts w:ascii="Times New Roman"/>
          <w:b/>
          <w:i w:val="false"/>
          <w:color w:val="000000"/>
        </w:rPr>
        <w:t>
рынка ценных бумаг и (или) лицу, обладающему признаками</w:t>
      </w:r>
      <w:r>
        <w:br/>
      </w:r>
      <w:r>
        <w:rPr>
          <w:rFonts w:ascii="Times New Roman"/>
          <w:b/>
          <w:i w:val="false"/>
          <w:color w:val="000000"/>
        </w:rPr>
        <w:t>
крупного участника, крупному участнику организации,</w:t>
      </w:r>
      <w:r>
        <w:br/>
      </w:r>
      <w:r>
        <w:rPr>
          <w:rFonts w:ascii="Times New Roman"/>
          <w:b/>
          <w:i w:val="false"/>
          <w:color w:val="000000"/>
        </w:rPr>
        <w:t>
осуществляющей инвестиционное управление пенсионными активами</w:t>
      </w:r>
    </w:p>
    <w:bookmarkEnd w:id="3"/>
    <w:bookmarkStart w:name="z7" w:id="4"/>
    <w:p>
      <w:pPr>
        <w:spacing w:after="0"/>
        <w:ind w:left="0"/>
        <w:jc w:val="both"/>
      </w:pPr>
      <w:r>
        <w:rPr>
          <w:rFonts w:ascii="Times New Roman"/>
          <w:b w:val="false"/>
          <w:i w:val="false"/>
          <w:color w:val="000000"/>
          <w:sz w:val="28"/>
        </w:rPr>
        <w:t>
      Настоящие Правила применения ограниченных мер воздействия к субъекту рынка ценных бумаг и (или) лицу, обладающему признаками крупного участника, крупному участнику организации, осуществляющей инвестиционное управление пенсионными активами (далее - Правила) разработаны в соответствии с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устанавливают порядок применения уполномоченным органом по регулированию, контролю и надзору финансового рынка и финансовых организаций (далее - уполномоченный орган) ограниченных мер воздействия к субъекту рынка ценных бумаг и (или) лицу, обладающему признаками крупного участника, крупному участнику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29.03.2013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8" w:id="5"/>
    <w:p>
      <w:pPr>
        <w:spacing w:after="0"/>
        <w:ind w:left="0"/>
        <w:jc w:val="left"/>
      </w:pPr>
      <w:r>
        <w:rPr>
          <w:rFonts w:ascii="Times New Roman"/>
          <w:b/>
          <w:i w:val="false"/>
          <w:color w:val="000000"/>
        </w:rPr>
        <w:t xml:space="preserve"> 
1. Общие положения</w:t>
      </w:r>
    </w:p>
    <w:bookmarkEnd w:id="5"/>
    <w:bookmarkStart w:name="z9" w:id="6"/>
    <w:p>
      <w:pPr>
        <w:spacing w:after="0"/>
        <w:ind w:left="0"/>
        <w:jc w:val="both"/>
      </w:pPr>
      <w:r>
        <w:rPr>
          <w:rFonts w:ascii="Times New Roman"/>
          <w:b w:val="false"/>
          <w:i w:val="false"/>
          <w:color w:val="000000"/>
          <w:sz w:val="28"/>
        </w:rPr>
        <w:t>
      1. В случаях, установленных </w:t>
      </w:r>
      <w:r>
        <w:rPr>
          <w:rFonts w:ascii="Times New Roman"/>
          <w:b w:val="false"/>
          <w:i w:val="false"/>
          <w:color w:val="000000"/>
          <w:sz w:val="28"/>
        </w:rPr>
        <w:t>статьей 3-1</w:t>
      </w:r>
      <w:r>
        <w:rPr>
          <w:rFonts w:ascii="Times New Roman"/>
          <w:b w:val="false"/>
          <w:i w:val="false"/>
          <w:color w:val="000000"/>
          <w:sz w:val="28"/>
        </w:rPr>
        <w:t xml:space="preserve"> Закона, уполномоченный орган применяет к субъекту рынка ценных бумаг одну из следующих ограниченных мер воздействия:</w:t>
      </w:r>
      <w:r>
        <w:br/>
      </w:r>
      <w:r>
        <w:rPr>
          <w:rFonts w:ascii="Times New Roman"/>
          <w:b w:val="false"/>
          <w:i w:val="false"/>
          <w:color w:val="000000"/>
          <w:sz w:val="28"/>
        </w:rPr>
        <w:t>
</w:t>
      </w:r>
      <w:r>
        <w:rPr>
          <w:rFonts w:ascii="Times New Roman"/>
          <w:b w:val="false"/>
          <w:i w:val="false"/>
          <w:color w:val="000000"/>
          <w:sz w:val="28"/>
        </w:rPr>
        <w:t>
      1) дает обязательное для исполнения письменное предписание;</w:t>
      </w:r>
      <w:r>
        <w:br/>
      </w:r>
      <w:r>
        <w:rPr>
          <w:rFonts w:ascii="Times New Roman"/>
          <w:b w:val="false"/>
          <w:i w:val="false"/>
          <w:color w:val="000000"/>
          <w:sz w:val="28"/>
        </w:rPr>
        <w:t>
</w:t>
      </w:r>
      <w:r>
        <w:rPr>
          <w:rFonts w:ascii="Times New Roman"/>
          <w:b w:val="false"/>
          <w:i w:val="false"/>
          <w:color w:val="000000"/>
          <w:sz w:val="28"/>
        </w:rPr>
        <w:t>
      2) ставит вопрос перед акционерами об отстранении руководящих работников субъекта рынка ценных бумаг;</w:t>
      </w:r>
      <w:r>
        <w:br/>
      </w:r>
      <w:r>
        <w:rPr>
          <w:rFonts w:ascii="Times New Roman"/>
          <w:b w:val="false"/>
          <w:i w:val="false"/>
          <w:color w:val="000000"/>
          <w:sz w:val="28"/>
        </w:rPr>
        <w:t>
</w:t>
      </w:r>
      <w:r>
        <w:rPr>
          <w:rFonts w:ascii="Times New Roman"/>
          <w:b w:val="false"/>
          <w:i w:val="false"/>
          <w:color w:val="000000"/>
          <w:sz w:val="28"/>
        </w:rPr>
        <w:t>
      3) отстраняет членов инвестиционного комитета от исполнения обязанностей в составе инвестиционного комитета;</w:t>
      </w:r>
      <w:r>
        <w:br/>
      </w:r>
      <w:r>
        <w:rPr>
          <w:rFonts w:ascii="Times New Roman"/>
          <w:b w:val="false"/>
          <w:i w:val="false"/>
          <w:color w:val="000000"/>
          <w:sz w:val="28"/>
        </w:rPr>
        <w:t>
</w:t>
      </w:r>
      <w:r>
        <w:rPr>
          <w:rFonts w:ascii="Times New Roman"/>
          <w:b w:val="false"/>
          <w:i w:val="false"/>
          <w:color w:val="000000"/>
          <w:sz w:val="28"/>
        </w:rPr>
        <w:t>
      4) направляет требование о предоставлении письма-обязательства;</w:t>
      </w:r>
      <w:r>
        <w:br/>
      </w:r>
      <w:r>
        <w:rPr>
          <w:rFonts w:ascii="Times New Roman"/>
          <w:b w:val="false"/>
          <w:i w:val="false"/>
          <w:color w:val="000000"/>
          <w:sz w:val="28"/>
        </w:rPr>
        <w:t>
</w:t>
      </w:r>
      <w:r>
        <w:rPr>
          <w:rFonts w:ascii="Times New Roman"/>
          <w:b w:val="false"/>
          <w:i w:val="false"/>
          <w:color w:val="000000"/>
          <w:sz w:val="28"/>
        </w:rPr>
        <w:t>
      5) составляет с субъектом рынка ценных бумаг письменное соглашение, которое подлежит обязательному подписанию.</w:t>
      </w:r>
      <w:r>
        <w:br/>
      </w:r>
      <w:r>
        <w:rPr>
          <w:rFonts w:ascii="Times New Roman"/>
          <w:b w:val="false"/>
          <w:i w:val="false"/>
          <w:color w:val="000000"/>
          <w:sz w:val="28"/>
        </w:rPr>
        <w:t>
</w:t>
      </w:r>
      <w:r>
        <w:rPr>
          <w:rFonts w:ascii="Times New Roman"/>
          <w:b w:val="false"/>
          <w:i w:val="false"/>
          <w:color w:val="000000"/>
          <w:sz w:val="28"/>
        </w:rPr>
        <w:t>
      2. Уполномоченный орган применяет в отношении лиц, обладающих признаками крупного участника, крупных участников организации, осуществляющей инвестиционное управление пенсионными активами, меры, приведенные в </w:t>
      </w:r>
      <w:r>
        <w:rPr>
          <w:rFonts w:ascii="Times New Roman"/>
          <w:b w:val="false"/>
          <w:i w:val="false"/>
          <w:color w:val="000000"/>
          <w:sz w:val="28"/>
        </w:rPr>
        <w:t>подпунктах 1)</w:t>
      </w:r>
      <w:r>
        <w:rPr>
          <w:rFonts w:ascii="Times New Roman"/>
          <w:b w:val="false"/>
          <w:i w:val="false"/>
          <w:color w:val="000000"/>
          <w:sz w:val="28"/>
        </w:rPr>
        <w:t xml:space="preserve"> и 5) пункта 1 Правил, если установит, что нарушения, неправомерное действие (бездействие) указанных лиц, должностных лиц и (или) работников юридических лиц, обладающих признаками крупного участника, крупного участника организации, осуществляющей инвестиционное управление пенсионными активами, ухудшили финансовое состояние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3. Для целей Правил под нарушениями, неправомерными действиями или бездействием лиц, указанных в </w:t>
      </w:r>
      <w:r>
        <w:rPr>
          <w:rFonts w:ascii="Times New Roman"/>
          <w:b w:val="false"/>
          <w:i w:val="false"/>
          <w:color w:val="000000"/>
          <w:sz w:val="28"/>
        </w:rPr>
        <w:t>пункте 2</w:t>
      </w:r>
      <w:r>
        <w:rPr>
          <w:rFonts w:ascii="Times New Roman"/>
          <w:b w:val="false"/>
          <w:i w:val="false"/>
          <w:color w:val="000000"/>
          <w:sz w:val="28"/>
        </w:rPr>
        <w:t xml:space="preserve"> Правил, которые ухудшили финансовое состояние организации, осуществляющей инвестиционное управление пенсионными активами, понимаются действия, в результате которых организацией, осуществляющей инвестиционное управление пенсионными активами, было допущено нарушение </w:t>
      </w:r>
      <w:r>
        <w:rPr>
          <w:rFonts w:ascii="Times New Roman"/>
          <w:b w:val="false"/>
          <w:i w:val="false"/>
          <w:color w:val="000000"/>
          <w:sz w:val="28"/>
        </w:rPr>
        <w:t>пруденциального норматива</w:t>
      </w:r>
      <w:r>
        <w:rPr>
          <w:rFonts w:ascii="Times New Roman"/>
          <w:b w:val="false"/>
          <w:i w:val="false"/>
          <w:color w:val="000000"/>
          <w:sz w:val="28"/>
        </w:rPr>
        <w:t xml:space="preserve"> достаточности собственного капитала и доходности пенсионных активов, а также, если указанные действия стали причиной возникновения факторов, влияющих на ухудшение финансового положения организации, осуществляющей инвестиционное управление пенсионными активами, перечисленных в </w:t>
      </w:r>
      <w:r>
        <w:rPr>
          <w:rFonts w:ascii="Times New Roman"/>
          <w:b w:val="false"/>
          <w:i w:val="false"/>
          <w:color w:val="000000"/>
          <w:sz w:val="28"/>
        </w:rPr>
        <w:t>пункте 1</w:t>
      </w:r>
      <w:r>
        <w:rPr>
          <w:rFonts w:ascii="Times New Roman"/>
          <w:b w:val="false"/>
          <w:i w:val="false"/>
          <w:color w:val="000000"/>
          <w:sz w:val="28"/>
        </w:rPr>
        <w:t xml:space="preserve"> статьи 41-2 Закона Республики Казахстан от 20 июня 1997 года «О пенсионном обеспечении в Республике Казахстан».</w:t>
      </w:r>
      <w:r>
        <w:br/>
      </w:r>
      <w:r>
        <w:rPr>
          <w:rFonts w:ascii="Times New Roman"/>
          <w:b w:val="false"/>
          <w:i w:val="false"/>
          <w:color w:val="000000"/>
          <w:sz w:val="28"/>
        </w:rPr>
        <w:t>
</w:t>
      </w:r>
      <w:r>
        <w:rPr>
          <w:rFonts w:ascii="Times New Roman"/>
          <w:b w:val="false"/>
          <w:i w:val="false"/>
          <w:color w:val="000000"/>
          <w:sz w:val="28"/>
        </w:rPr>
        <w:t>
      4. Применение уполномоченным органом ограниченных мер воздействия к субъекту рынка ценных бумаг и (или) лицу, обладающему признаками крупного участника, крупному участнику организации, осуществляющей инвестиционное управление пенсионными активами, производится с учетом одного или нескольких из следующих факторов:</w:t>
      </w:r>
      <w:r>
        <w:br/>
      </w:r>
      <w:r>
        <w:rPr>
          <w:rFonts w:ascii="Times New Roman"/>
          <w:b w:val="false"/>
          <w:i w:val="false"/>
          <w:color w:val="000000"/>
          <w:sz w:val="28"/>
        </w:rPr>
        <w:t>
</w:t>
      </w:r>
      <w:r>
        <w:rPr>
          <w:rFonts w:ascii="Times New Roman"/>
          <w:b w:val="false"/>
          <w:i w:val="false"/>
          <w:color w:val="000000"/>
          <w:sz w:val="28"/>
        </w:rPr>
        <w:t>
      1) уровня риска.</w:t>
      </w:r>
      <w:r>
        <w:br/>
      </w:r>
      <w:r>
        <w:rPr>
          <w:rFonts w:ascii="Times New Roman"/>
          <w:b w:val="false"/>
          <w:i w:val="false"/>
          <w:color w:val="000000"/>
          <w:sz w:val="28"/>
        </w:rPr>
        <w:t>
      Под риском для целей Правил понимается вероятность возникновения негативных последствий в виде нарушения прав и свобод граждан, нанесения ущерба интересам общества и государству в результате неисполнения и (или) неполного исполнения субъектом рынка ценных бумаг требований, установленных в сфере гражданского, финансового законодательств и законодательства о социальном обеспечении (далее – законодательство Республики Казахстан), при осуществлении деятельности, а также ухудшения финансового состояния субъекта рынка ценных бумаг;</w:t>
      </w:r>
      <w:r>
        <w:br/>
      </w:r>
      <w:r>
        <w:rPr>
          <w:rFonts w:ascii="Times New Roman"/>
          <w:b w:val="false"/>
          <w:i w:val="false"/>
          <w:color w:val="000000"/>
          <w:sz w:val="28"/>
        </w:rPr>
        <w:t>
</w:t>
      </w:r>
      <w:r>
        <w:rPr>
          <w:rFonts w:ascii="Times New Roman"/>
          <w:b w:val="false"/>
          <w:i w:val="false"/>
          <w:color w:val="000000"/>
          <w:sz w:val="28"/>
        </w:rPr>
        <w:t xml:space="preserve">
      2) способности скорректировать ситуацию в результате применения выбранной меры воздействия; </w:t>
      </w:r>
      <w:r>
        <w:br/>
      </w:r>
      <w:r>
        <w:rPr>
          <w:rFonts w:ascii="Times New Roman"/>
          <w:b w:val="false"/>
          <w:i w:val="false"/>
          <w:color w:val="000000"/>
          <w:sz w:val="28"/>
        </w:rPr>
        <w:t>
</w:t>
      </w:r>
      <w:r>
        <w:rPr>
          <w:rFonts w:ascii="Times New Roman"/>
          <w:b w:val="false"/>
          <w:i w:val="false"/>
          <w:color w:val="000000"/>
          <w:sz w:val="28"/>
        </w:rPr>
        <w:t>
      3) характера нарушения и возможных последствий для субъекта рынка ценных бумаг;</w:t>
      </w:r>
      <w:r>
        <w:br/>
      </w:r>
      <w:r>
        <w:rPr>
          <w:rFonts w:ascii="Times New Roman"/>
          <w:b w:val="false"/>
          <w:i w:val="false"/>
          <w:color w:val="000000"/>
          <w:sz w:val="28"/>
        </w:rPr>
        <w:t>
</w:t>
      </w:r>
      <w:r>
        <w:rPr>
          <w:rFonts w:ascii="Times New Roman"/>
          <w:b w:val="false"/>
          <w:i w:val="false"/>
          <w:color w:val="000000"/>
          <w:sz w:val="28"/>
        </w:rPr>
        <w:t>
      4) частоты и продолжительности нарушения;</w:t>
      </w:r>
      <w:r>
        <w:br/>
      </w:r>
      <w:r>
        <w:rPr>
          <w:rFonts w:ascii="Times New Roman"/>
          <w:b w:val="false"/>
          <w:i w:val="false"/>
          <w:color w:val="000000"/>
          <w:sz w:val="28"/>
        </w:rPr>
        <w:t>
</w:t>
      </w:r>
      <w:r>
        <w:rPr>
          <w:rFonts w:ascii="Times New Roman"/>
          <w:b w:val="false"/>
          <w:i w:val="false"/>
          <w:color w:val="000000"/>
          <w:sz w:val="28"/>
        </w:rPr>
        <w:t>
      5) размеров убытков субъекта рынка ценных бумаг в результате допущенного нарушения;</w:t>
      </w:r>
      <w:r>
        <w:br/>
      </w:r>
      <w:r>
        <w:rPr>
          <w:rFonts w:ascii="Times New Roman"/>
          <w:b w:val="false"/>
          <w:i w:val="false"/>
          <w:color w:val="000000"/>
          <w:sz w:val="28"/>
        </w:rPr>
        <w:t>
</w:t>
      </w:r>
      <w:r>
        <w:rPr>
          <w:rFonts w:ascii="Times New Roman"/>
          <w:b w:val="false"/>
          <w:i w:val="false"/>
          <w:color w:val="000000"/>
          <w:sz w:val="28"/>
        </w:rPr>
        <w:t>
      6) осведомленности руководящих работников субъекта рынка ценных бумаг о допущенном нарушении;</w:t>
      </w:r>
      <w:r>
        <w:br/>
      </w:r>
      <w:r>
        <w:rPr>
          <w:rFonts w:ascii="Times New Roman"/>
          <w:b w:val="false"/>
          <w:i w:val="false"/>
          <w:color w:val="000000"/>
          <w:sz w:val="28"/>
        </w:rPr>
        <w:t>
</w:t>
      </w:r>
      <w:r>
        <w:rPr>
          <w:rFonts w:ascii="Times New Roman"/>
          <w:b w:val="false"/>
          <w:i w:val="false"/>
          <w:color w:val="000000"/>
          <w:sz w:val="28"/>
        </w:rPr>
        <w:t>
      7) общего финансового состояния субъекта рынка ценных бумаг.</w:t>
      </w:r>
      <w:r>
        <w:br/>
      </w:r>
      <w:r>
        <w:rPr>
          <w:rFonts w:ascii="Times New Roman"/>
          <w:b w:val="false"/>
          <w:i w:val="false"/>
          <w:color w:val="000000"/>
          <w:sz w:val="28"/>
        </w:rPr>
        <w:t>
</w:t>
      </w:r>
      <w:r>
        <w:rPr>
          <w:rFonts w:ascii="Times New Roman"/>
          <w:b w:val="false"/>
          <w:i w:val="false"/>
          <w:color w:val="000000"/>
          <w:sz w:val="28"/>
        </w:rPr>
        <w:t>
      Общее финансовое состояние субъекта рынка ценных бумаг определяется на основании данных отчетности, материалов проверок, аудиторских отчетов, выполнения </w:t>
      </w:r>
      <w:r>
        <w:rPr>
          <w:rFonts w:ascii="Times New Roman"/>
          <w:b w:val="false"/>
          <w:i w:val="false"/>
          <w:color w:val="000000"/>
          <w:sz w:val="28"/>
        </w:rPr>
        <w:t>требований</w:t>
      </w:r>
      <w:r>
        <w:rPr>
          <w:rFonts w:ascii="Times New Roman"/>
          <w:b w:val="false"/>
          <w:i w:val="false"/>
          <w:color w:val="000000"/>
          <w:sz w:val="28"/>
        </w:rPr>
        <w:t xml:space="preserve"> по наличию систем управления рисками и внутреннего контроля, а также результатов взаимодействия руководства субъекта рынка ценных бумаг с акционерами с целью получения финансовой поддержки в случае ухудшения финансового состояния субъекта рынка ценных бумаг.</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Правления Национального Банка РК от 29.03.2013 </w:t>
      </w:r>
      <w:r>
        <w:rPr>
          <w:rFonts w:ascii="Times New Roman"/>
          <w:b w:val="false"/>
          <w:i w:val="false"/>
          <w:color w:val="00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Уполномоченным органом ведется учет примененных ограниченных мер воздействия.</w:t>
      </w:r>
    </w:p>
    <w:bookmarkEnd w:id="6"/>
    <w:bookmarkStart w:name="z25" w:id="7"/>
    <w:p>
      <w:pPr>
        <w:spacing w:after="0"/>
        <w:ind w:left="0"/>
        <w:jc w:val="left"/>
      </w:pPr>
      <w:r>
        <w:rPr>
          <w:rFonts w:ascii="Times New Roman"/>
          <w:b/>
          <w:i w:val="false"/>
          <w:color w:val="000000"/>
        </w:rPr>
        <w:t xml:space="preserve"> 
2. Письменное предписание</w:t>
      </w:r>
    </w:p>
    <w:bookmarkEnd w:id="7"/>
    <w:bookmarkStart w:name="z26" w:id="8"/>
    <w:p>
      <w:pPr>
        <w:spacing w:after="0"/>
        <w:ind w:left="0"/>
        <w:jc w:val="both"/>
      </w:pPr>
      <w:r>
        <w:rPr>
          <w:rFonts w:ascii="Times New Roman"/>
          <w:b w:val="false"/>
          <w:i w:val="false"/>
          <w:color w:val="000000"/>
          <w:sz w:val="28"/>
        </w:rPr>
        <w:t>
      6. В случаях, установленных </w:t>
      </w:r>
      <w:r>
        <w:rPr>
          <w:rFonts w:ascii="Times New Roman"/>
          <w:b w:val="false"/>
          <w:i w:val="false"/>
          <w:color w:val="000000"/>
          <w:sz w:val="28"/>
        </w:rPr>
        <w:t>статьей 3-1</w:t>
      </w:r>
      <w:r>
        <w:rPr>
          <w:rFonts w:ascii="Times New Roman"/>
          <w:b w:val="false"/>
          <w:i w:val="false"/>
          <w:color w:val="000000"/>
          <w:sz w:val="28"/>
        </w:rPr>
        <w:t xml:space="preserve"> Закона, уполномоченный орган выносит в адрес субъекта рынка ценных бумаг и (или) лица, обладающего признаками крупного участника, крупного участника организации, осуществляющей инвестиционное управление пенсионными активами, письменное предписание о принятии обязательных к исполнению коррективных мер, направленных на устранение выявленных недостатков в установленный срок, с указанием должностного лица субъекта рынка ценных бумаг и (или) юридического лица, обладающего признаками крупного участника, крупного участника организации, осуществляющей инвестиционное управление пенсионными активами, ответственного за принятие коррективных мер.</w:t>
      </w:r>
      <w:r>
        <w:br/>
      </w:r>
      <w:r>
        <w:rPr>
          <w:rFonts w:ascii="Times New Roman"/>
          <w:b w:val="false"/>
          <w:i w:val="false"/>
          <w:color w:val="000000"/>
          <w:sz w:val="28"/>
        </w:rPr>
        <w:t>
</w:t>
      </w:r>
      <w:r>
        <w:rPr>
          <w:rFonts w:ascii="Times New Roman"/>
          <w:b w:val="false"/>
          <w:i w:val="false"/>
          <w:color w:val="000000"/>
          <w:sz w:val="28"/>
        </w:rPr>
        <w:t>
      7. Коррективные меры указываются в письменном предписании и представляют собой обязательные к исполнению меры по выполнению обязательств перед клиентами и (или) устранению выявленных недостатков.</w:t>
      </w:r>
      <w:r>
        <w:br/>
      </w:r>
      <w:r>
        <w:rPr>
          <w:rFonts w:ascii="Times New Roman"/>
          <w:b w:val="false"/>
          <w:i w:val="false"/>
          <w:color w:val="000000"/>
          <w:sz w:val="28"/>
        </w:rPr>
        <w:t>
</w:t>
      </w:r>
      <w:r>
        <w:rPr>
          <w:rFonts w:ascii="Times New Roman"/>
          <w:b w:val="false"/>
          <w:i w:val="false"/>
          <w:color w:val="000000"/>
          <w:sz w:val="28"/>
        </w:rPr>
        <w:t>
      8. Письменное предписание доводится до сведения:</w:t>
      </w:r>
      <w:r>
        <w:br/>
      </w:r>
      <w:r>
        <w:rPr>
          <w:rFonts w:ascii="Times New Roman"/>
          <w:b w:val="false"/>
          <w:i w:val="false"/>
          <w:color w:val="000000"/>
          <w:sz w:val="28"/>
        </w:rPr>
        <w:t>
</w:t>
      </w:r>
      <w:r>
        <w:rPr>
          <w:rFonts w:ascii="Times New Roman"/>
          <w:b w:val="false"/>
          <w:i w:val="false"/>
          <w:color w:val="000000"/>
          <w:sz w:val="28"/>
        </w:rPr>
        <w:t>
      первого руководителя субъекта рынка ценных бумаг или лица, его замещающего;</w:t>
      </w:r>
      <w:r>
        <w:br/>
      </w:r>
      <w:r>
        <w:rPr>
          <w:rFonts w:ascii="Times New Roman"/>
          <w:b w:val="false"/>
          <w:i w:val="false"/>
          <w:color w:val="000000"/>
          <w:sz w:val="28"/>
        </w:rPr>
        <w:t>
</w:t>
      </w:r>
      <w:r>
        <w:rPr>
          <w:rFonts w:ascii="Times New Roman"/>
          <w:b w:val="false"/>
          <w:i w:val="false"/>
          <w:color w:val="000000"/>
          <w:sz w:val="28"/>
        </w:rPr>
        <w:t>
      первого руководителя юридического лица, обладающего признаками крупного участника субъекта рынка ценных бумаг;</w:t>
      </w:r>
      <w:r>
        <w:br/>
      </w:r>
      <w:r>
        <w:rPr>
          <w:rFonts w:ascii="Times New Roman"/>
          <w:b w:val="false"/>
          <w:i w:val="false"/>
          <w:color w:val="000000"/>
          <w:sz w:val="28"/>
        </w:rPr>
        <w:t>
</w:t>
      </w:r>
      <w:r>
        <w:rPr>
          <w:rFonts w:ascii="Times New Roman"/>
          <w:b w:val="false"/>
          <w:i w:val="false"/>
          <w:color w:val="000000"/>
          <w:sz w:val="28"/>
        </w:rPr>
        <w:t>
      крупного участника организации, осуществляющей инвестиционное управление пенсионными активами, являющегося юридическим лицом, или лиц, их замещающих;</w:t>
      </w:r>
      <w:r>
        <w:br/>
      </w:r>
      <w:r>
        <w:rPr>
          <w:rFonts w:ascii="Times New Roman"/>
          <w:b w:val="false"/>
          <w:i w:val="false"/>
          <w:color w:val="000000"/>
          <w:sz w:val="28"/>
        </w:rPr>
        <w:t>
</w:t>
      </w:r>
      <w:r>
        <w:rPr>
          <w:rFonts w:ascii="Times New Roman"/>
          <w:b w:val="false"/>
          <w:i w:val="false"/>
          <w:color w:val="000000"/>
          <w:sz w:val="28"/>
        </w:rPr>
        <w:t>
      физического лица, обладающего признаками крупного участника, крупного участника организации, осуществляющей инвестиционное управление пенсионными активами, являющегося физическим лицом.</w:t>
      </w:r>
    </w:p>
    <w:bookmarkEnd w:id="8"/>
    <w:bookmarkStart w:name="z33" w:id="9"/>
    <w:p>
      <w:pPr>
        <w:spacing w:after="0"/>
        <w:ind w:left="0"/>
        <w:jc w:val="left"/>
      </w:pPr>
      <w:r>
        <w:rPr>
          <w:rFonts w:ascii="Times New Roman"/>
          <w:b/>
          <w:i w:val="false"/>
          <w:color w:val="000000"/>
        </w:rPr>
        <w:t xml:space="preserve"> 
3. Обращение к акционерам об отстранении</w:t>
      </w:r>
      <w:r>
        <w:br/>
      </w:r>
      <w:r>
        <w:rPr>
          <w:rFonts w:ascii="Times New Roman"/>
          <w:b/>
          <w:i w:val="false"/>
          <w:color w:val="000000"/>
        </w:rPr>
        <w:t>
руководящих работников субъекта рынка ценных бумаг</w:t>
      </w:r>
    </w:p>
    <w:bookmarkEnd w:id="9"/>
    <w:bookmarkStart w:name="z34" w:id="10"/>
    <w:p>
      <w:pPr>
        <w:spacing w:after="0"/>
        <w:ind w:left="0"/>
        <w:jc w:val="both"/>
      </w:pPr>
      <w:r>
        <w:rPr>
          <w:rFonts w:ascii="Times New Roman"/>
          <w:b w:val="false"/>
          <w:i w:val="false"/>
          <w:color w:val="000000"/>
          <w:sz w:val="28"/>
        </w:rPr>
        <w:t>
      9. В случаях, установленных </w:t>
      </w:r>
      <w:r>
        <w:rPr>
          <w:rFonts w:ascii="Times New Roman"/>
          <w:b w:val="false"/>
          <w:i w:val="false"/>
          <w:color w:val="000000"/>
          <w:sz w:val="28"/>
        </w:rPr>
        <w:t>статьей 3-1</w:t>
      </w:r>
      <w:r>
        <w:rPr>
          <w:rFonts w:ascii="Times New Roman"/>
          <w:b w:val="false"/>
          <w:i w:val="false"/>
          <w:color w:val="000000"/>
          <w:sz w:val="28"/>
        </w:rPr>
        <w:t xml:space="preserve"> Закона, уполномоченный орган ставит вопрос перед акционером (акционерами) субъекта рынка ценных бумаг об отстранении руководящего работника (руководящих работников) субъекта рынка ценных бумаг.</w:t>
      </w:r>
      <w:r>
        <w:br/>
      </w:r>
      <w:r>
        <w:rPr>
          <w:rFonts w:ascii="Times New Roman"/>
          <w:b w:val="false"/>
          <w:i w:val="false"/>
          <w:color w:val="000000"/>
          <w:sz w:val="28"/>
        </w:rPr>
        <w:t>
</w:t>
      </w:r>
      <w:r>
        <w:rPr>
          <w:rFonts w:ascii="Times New Roman"/>
          <w:b w:val="false"/>
          <w:i w:val="false"/>
          <w:color w:val="000000"/>
          <w:sz w:val="28"/>
        </w:rPr>
        <w:t>
      10. Реализация ограниченной меры воздействия, указанной в пункте 9 Правил, осуществляется посредством направления уполномоченным органом письма в орган управления субъекта рынка ценных бумаг с требованием:</w:t>
      </w:r>
      <w:r>
        <w:br/>
      </w:r>
      <w:r>
        <w:rPr>
          <w:rFonts w:ascii="Times New Roman"/>
          <w:b w:val="false"/>
          <w:i w:val="false"/>
          <w:color w:val="000000"/>
          <w:sz w:val="28"/>
        </w:rPr>
        <w:t>
</w:t>
      </w:r>
      <w:r>
        <w:rPr>
          <w:rFonts w:ascii="Times New Roman"/>
          <w:b w:val="false"/>
          <w:i w:val="false"/>
          <w:color w:val="000000"/>
          <w:sz w:val="28"/>
        </w:rPr>
        <w:t>
      1) представить в уполномоченный орган сведения о дате проведения общего собрания акционеров субъекта рынка ценных бумаг, в повестку дня которого включено рассмотрение вопроса об отстранении руководящего работника (руководящих работников) субъекта рынка ценных бумаг от занимаемой должности (занимаемых должностей);</w:t>
      </w:r>
      <w:r>
        <w:br/>
      </w:r>
      <w:r>
        <w:rPr>
          <w:rFonts w:ascii="Times New Roman"/>
          <w:b w:val="false"/>
          <w:i w:val="false"/>
          <w:color w:val="000000"/>
          <w:sz w:val="28"/>
        </w:rPr>
        <w:t>
</w:t>
      </w:r>
      <w:r>
        <w:rPr>
          <w:rFonts w:ascii="Times New Roman"/>
          <w:b w:val="false"/>
          <w:i w:val="false"/>
          <w:color w:val="000000"/>
          <w:sz w:val="28"/>
        </w:rPr>
        <w:t>
      2) уведомить единственного акционера субъекта рынка ценных бумаг о необходимости рассмотрения вопроса об отстранении руководящего работника (руководящих работников) субъекта рынка ценных бумаг от занимаемой должности (занимаемых должностей).</w:t>
      </w:r>
      <w:r>
        <w:br/>
      </w:r>
      <w:r>
        <w:rPr>
          <w:rFonts w:ascii="Times New Roman"/>
          <w:b w:val="false"/>
          <w:i w:val="false"/>
          <w:color w:val="000000"/>
          <w:sz w:val="28"/>
        </w:rPr>
        <w:t>
</w:t>
      </w:r>
      <w:r>
        <w:rPr>
          <w:rFonts w:ascii="Times New Roman"/>
          <w:b w:val="false"/>
          <w:i w:val="false"/>
          <w:color w:val="000000"/>
          <w:sz w:val="28"/>
        </w:rPr>
        <w:t>
      11. Орган управления субъекта рынка ценных бумаг письменно доводит до сведения уполномоченного органа информацию о (об):</w:t>
      </w:r>
      <w:r>
        <w:br/>
      </w:r>
      <w:r>
        <w:rPr>
          <w:rFonts w:ascii="Times New Roman"/>
          <w:b w:val="false"/>
          <w:i w:val="false"/>
          <w:color w:val="000000"/>
          <w:sz w:val="28"/>
        </w:rPr>
        <w:t>
</w:t>
      </w:r>
      <w:r>
        <w:rPr>
          <w:rFonts w:ascii="Times New Roman"/>
          <w:b w:val="false"/>
          <w:i w:val="false"/>
          <w:color w:val="000000"/>
          <w:sz w:val="28"/>
        </w:rPr>
        <w:t>
      1) дате проведения соответствующего общего собрания акционеров субъекта рынка ценных бумаг - в течение десяти календарных дней после даты получения письма уполномоченного органа;</w:t>
      </w:r>
      <w:r>
        <w:br/>
      </w:r>
      <w:r>
        <w:rPr>
          <w:rFonts w:ascii="Times New Roman"/>
          <w:b w:val="false"/>
          <w:i w:val="false"/>
          <w:color w:val="000000"/>
          <w:sz w:val="28"/>
        </w:rPr>
        <w:t>
</w:t>
      </w:r>
      <w:r>
        <w:rPr>
          <w:rFonts w:ascii="Times New Roman"/>
          <w:b w:val="false"/>
          <w:i w:val="false"/>
          <w:color w:val="000000"/>
          <w:sz w:val="28"/>
        </w:rPr>
        <w:t>
      2) принятом общим собранием акционеров (единственным акционером) субъекта рынка ценных бумаг решении по вопросу об отстранении руководящего работника (руководящих работников) субъекта рынка ценных бумаг - в течение пяти календарных дней после даты принятия такого решения;</w:t>
      </w:r>
      <w:r>
        <w:br/>
      </w:r>
      <w:r>
        <w:rPr>
          <w:rFonts w:ascii="Times New Roman"/>
          <w:b w:val="false"/>
          <w:i w:val="false"/>
          <w:color w:val="000000"/>
          <w:sz w:val="28"/>
        </w:rPr>
        <w:t>
</w:t>
      </w:r>
      <w:r>
        <w:rPr>
          <w:rFonts w:ascii="Times New Roman"/>
          <w:b w:val="false"/>
          <w:i w:val="false"/>
          <w:color w:val="000000"/>
          <w:sz w:val="28"/>
        </w:rPr>
        <w:t>
      3) исполнении решения общего собрания акционеров (единственного акционера) субъекта рынка ценных бумаг - в течение пятнадцати календарных дней после даты принятия такого решения с приложением подтверждающих документов.</w:t>
      </w:r>
    </w:p>
    <w:bookmarkEnd w:id="10"/>
    <w:bookmarkStart w:name="z42" w:id="11"/>
    <w:p>
      <w:pPr>
        <w:spacing w:after="0"/>
        <w:ind w:left="0"/>
        <w:jc w:val="left"/>
      </w:pPr>
      <w:r>
        <w:rPr>
          <w:rFonts w:ascii="Times New Roman"/>
          <w:b/>
          <w:i w:val="false"/>
          <w:color w:val="000000"/>
        </w:rPr>
        <w:t xml:space="preserve"> 
4. Отстранение членов инвестиционного комитета</w:t>
      </w:r>
      <w:r>
        <w:br/>
      </w:r>
      <w:r>
        <w:rPr>
          <w:rFonts w:ascii="Times New Roman"/>
          <w:b/>
          <w:i w:val="false"/>
          <w:color w:val="000000"/>
        </w:rPr>
        <w:t>
от исполнения обязанностей в составе инвестиционного комитета</w:t>
      </w:r>
    </w:p>
    <w:bookmarkEnd w:id="11"/>
    <w:bookmarkStart w:name="z43" w:id="12"/>
    <w:p>
      <w:pPr>
        <w:spacing w:after="0"/>
        <w:ind w:left="0"/>
        <w:jc w:val="both"/>
      </w:pPr>
      <w:r>
        <w:rPr>
          <w:rFonts w:ascii="Times New Roman"/>
          <w:b w:val="false"/>
          <w:i w:val="false"/>
          <w:color w:val="000000"/>
          <w:sz w:val="28"/>
        </w:rPr>
        <w:t>
      12. В случаях, установленных </w:t>
      </w:r>
      <w:r>
        <w:rPr>
          <w:rFonts w:ascii="Times New Roman"/>
          <w:b w:val="false"/>
          <w:i w:val="false"/>
          <w:color w:val="000000"/>
          <w:sz w:val="28"/>
        </w:rPr>
        <w:t>статьей 72</w:t>
      </w:r>
      <w:r>
        <w:rPr>
          <w:rFonts w:ascii="Times New Roman"/>
          <w:b w:val="false"/>
          <w:i w:val="false"/>
          <w:color w:val="000000"/>
          <w:sz w:val="28"/>
        </w:rPr>
        <w:t xml:space="preserve"> Закона, уполномоченный орган отстраняет членов инвестиционного комитета от исполнения обязанностей членов инвестиционного комитета.</w:t>
      </w:r>
      <w:r>
        <w:br/>
      </w:r>
      <w:r>
        <w:rPr>
          <w:rFonts w:ascii="Times New Roman"/>
          <w:b w:val="false"/>
          <w:i w:val="false"/>
          <w:color w:val="000000"/>
          <w:sz w:val="28"/>
        </w:rPr>
        <w:t>
</w:t>
      </w:r>
      <w:r>
        <w:rPr>
          <w:rFonts w:ascii="Times New Roman"/>
          <w:b w:val="false"/>
          <w:i w:val="false"/>
          <w:color w:val="000000"/>
          <w:sz w:val="28"/>
        </w:rPr>
        <w:t>
      13. В соответствии с частью второй </w:t>
      </w:r>
      <w:r>
        <w:rPr>
          <w:rFonts w:ascii="Times New Roman"/>
          <w:b w:val="false"/>
          <w:i w:val="false"/>
          <w:color w:val="000000"/>
          <w:sz w:val="28"/>
        </w:rPr>
        <w:t>пункта 8</w:t>
      </w:r>
      <w:r>
        <w:rPr>
          <w:rFonts w:ascii="Times New Roman"/>
          <w:b w:val="false"/>
          <w:i w:val="false"/>
          <w:color w:val="000000"/>
          <w:sz w:val="28"/>
        </w:rPr>
        <w:t xml:space="preserve"> статьи 72 Закона уведомление уполномоченного органа об отстранении лица либо лиц от выполнения обязанностей членов инвестиционного комитета доводится до сведения исполнительного органа профессионального участника рынка ценных бумаг, который не позднее дня, следующего за днем получения уведомления уполномоченного органа, доводит его до сведения лиц, отстраненных уполномоченным органом от исполнения обязанностей членов инвестиционного комитета.</w:t>
      </w:r>
      <w:r>
        <w:br/>
      </w:r>
      <w:r>
        <w:rPr>
          <w:rFonts w:ascii="Times New Roman"/>
          <w:b w:val="false"/>
          <w:i w:val="false"/>
          <w:color w:val="000000"/>
          <w:sz w:val="28"/>
        </w:rPr>
        <w:t>
</w:t>
      </w:r>
      <w:r>
        <w:rPr>
          <w:rFonts w:ascii="Times New Roman"/>
          <w:b w:val="false"/>
          <w:i w:val="false"/>
          <w:color w:val="000000"/>
          <w:sz w:val="28"/>
        </w:rPr>
        <w:t>
      14. Исполнительный орган профессионального участника рынка ценных бумаг в течение десяти календарных дней после даты получения уведомления уполномоченного органа, указанного в пункте 13 Правил, письменно доводит до сведения уполномоченного органа информацию об исключении из состава инвестиционного комитета лица либо лиц, в отношении которых применена ограниченная мера воздействия, указанная в пункте 12 Правил, с приложением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15.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72 Закона с даты доведения до сведения члена инвестиционного комитета уведомления уполномоченного органа, указанного в пункте 13 Правил, данное лицо не участвует в работе инвестиционного комитета и не избирается в состав инвестиционного комитета профессионального участника рынка ценных бумаг в течение трех лет после принятия уполномоченным органом решения об отстранении его от выполнения обязанностей члена инвестиционного комитета.</w:t>
      </w:r>
    </w:p>
    <w:bookmarkEnd w:id="12"/>
    <w:bookmarkStart w:name="z47" w:id="13"/>
    <w:p>
      <w:pPr>
        <w:spacing w:after="0"/>
        <w:ind w:left="0"/>
        <w:jc w:val="left"/>
      </w:pPr>
      <w:r>
        <w:rPr>
          <w:rFonts w:ascii="Times New Roman"/>
          <w:b/>
          <w:i w:val="false"/>
          <w:color w:val="000000"/>
        </w:rPr>
        <w:t xml:space="preserve"> 
5. Письмо-обязательство</w:t>
      </w:r>
    </w:p>
    <w:bookmarkEnd w:id="13"/>
    <w:bookmarkStart w:name="z48" w:id="14"/>
    <w:p>
      <w:pPr>
        <w:spacing w:after="0"/>
        <w:ind w:left="0"/>
        <w:jc w:val="both"/>
      </w:pPr>
      <w:r>
        <w:rPr>
          <w:rFonts w:ascii="Times New Roman"/>
          <w:b w:val="false"/>
          <w:i w:val="false"/>
          <w:color w:val="000000"/>
          <w:sz w:val="28"/>
        </w:rPr>
        <w:t>
      16. В случаях, установленных </w:t>
      </w:r>
      <w:r>
        <w:rPr>
          <w:rFonts w:ascii="Times New Roman"/>
          <w:b w:val="false"/>
          <w:i w:val="false"/>
          <w:color w:val="000000"/>
          <w:sz w:val="28"/>
        </w:rPr>
        <w:t>статьей 3-1</w:t>
      </w:r>
      <w:r>
        <w:rPr>
          <w:rFonts w:ascii="Times New Roman"/>
          <w:b w:val="false"/>
          <w:i w:val="false"/>
          <w:color w:val="000000"/>
          <w:sz w:val="28"/>
        </w:rPr>
        <w:t xml:space="preserve"> Закона, уполномоченный орган направляет требование к субъекту рынка ценных бумаг о предоставлении письма-обязательства, которое содержит факт признания имеющихся недостатков и гарантию руководства субъекта рынка ценных бумаг по их устранению в строго определенные сроки и (или) недопущению впредь подобных нарушений с указанием перечня запланированных мероприятий, сроков их исполнения и должностных лиц субъекта рынка ценных бумаг, ответственных за принятие коррективных мер.</w:t>
      </w:r>
      <w:r>
        <w:br/>
      </w:r>
      <w:r>
        <w:rPr>
          <w:rFonts w:ascii="Times New Roman"/>
          <w:b w:val="false"/>
          <w:i w:val="false"/>
          <w:color w:val="000000"/>
          <w:sz w:val="28"/>
        </w:rPr>
        <w:t>
</w:t>
      </w:r>
      <w:r>
        <w:rPr>
          <w:rFonts w:ascii="Times New Roman"/>
          <w:b w:val="false"/>
          <w:i w:val="false"/>
          <w:color w:val="000000"/>
          <w:sz w:val="28"/>
        </w:rPr>
        <w:t>
      17. Требование уполномоченного органа о предоставлении письма-обязательства применяется в тех случаях, когда в деятельности субъекта рынка ценных бумаг отмечаются недостатки, устранение которых и (или) недопущение их впредь объективно возможно путем принятия коррективных мер со стороны лиц, берущих на себя соответствующие обязательства.</w:t>
      </w:r>
      <w:r>
        <w:br/>
      </w:r>
      <w:r>
        <w:rPr>
          <w:rFonts w:ascii="Times New Roman"/>
          <w:b w:val="false"/>
          <w:i w:val="false"/>
          <w:color w:val="000000"/>
          <w:sz w:val="28"/>
        </w:rPr>
        <w:t>
</w:t>
      </w:r>
      <w:r>
        <w:rPr>
          <w:rFonts w:ascii="Times New Roman"/>
          <w:b w:val="false"/>
          <w:i w:val="false"/>
          <w:color w:val="000000"/>
          <w:sz w:val="28"/>
        </w:rPr>
        <w:t>
      18. Требование о предоставлении письма-обязательства является достаточной мерой воздействия, при наличии одного из следующих обстоятельств:</w:t>
      </w:r>
      <w:r>
        <w:br/>
      </w:r>
      <w:r>
        <w:rPr>
          <w:rFonts w:ascii="Times New Roman"/>
          <w:b w:val="false"/>
          <w:i w:val="false"/>
          <w:color w:val="000000"/>
          <w:sz w:val="28"/>
        </w:rPr>
        <w:t>
</w:t>
      </w:r>
      <w:r>
        <w:rPr>
          <w:rFonts w:ascii="Times New Roman"/>
          <w:b w:val="false"/>
          <w:i w:val="false"/>
          <w:color w:val="000000"/>
          <w:sz w:val="28"/>
        </w:rPr>
        <w:t>
      1) принявшее на себя соответствующее обязательство лицо намерено и в состоянии обеспечить его выполнение;</w:t>
      </w:r>
      <w:r>
        <w:br/>
      </w:r>
      <w:r>
        <w:rPr>
          <w:rFonts w:ascii="Times New Roman"/>
          <w:b w:val="false"/>
          <w:i w:val="false"/>
          <w:color w:val="000000"/>
          <w:sz w:val="28"/>
        </w:rPr>
        <w:t>
</w:t>
      </w:r>
      <w:r>
        <w:rPr>
          <w:rFonts w:ascii="Times New Roman"/>
          <w:b w:val="false"/>
          <w:i w:val="false"/>
          <w:color w:val="000000"/>
          <w:sz w:val="28"/>
        </w:rPr>
        <w:t>
      2) в обязательстве содержится конкретный состав мер и сроки их осуществления, которые признаются уполномоченным органом достаточными для устранения нарушений и (или) недопущения его впредь.</w:t>
      </w:r>
    </w:p>
    <w:bookmarkEnd w:id="14"/>
    <w:bookmarkStart w:name="z53" w:id="15"/>
    <w:p>
      <w:pPr>
        <w:spacing w:after="0"/>
        <w:ind w:left="0"/>
        <w:jc w:val="left"/>
      </w:pPr>
      <w:r>
        <w:rPr>
          <w:rFonts w:ascii="Times New Roman"/>
          <w:b/>
          <w:i w:val="false"/>
          <w:color w:val="000000"/>
        </w:rPr>
        <w:t xml:space="preserve"> 
6. Письменное соглашение</w:t>
      </w:r>
    </w:p>
    <w:bookmarkEnd w:id="15"/>
    <w:bookmarkStart w:name="z54" w:id="16"/>
    <w:p>
      <w:pPr>
        <w:spacing w:after="0"/>
        <w:ind w:left="0"/>
        <w:jc w:val="both"/>
      </w:pPr>
      <w:r>
        <w:rPr>
          <w:rFonts w:ascii="Times New Roman"/>
          <w:b w:val="false"/>
          <w:i w:val="false"/>
          <w:color w:val="000000"/>
          <w:sz w:val="28"/>
        </w:rPr>
        <w:t>
      19. В случаях, установленных </w:t>
      </w:r>
      <w:r>
        <w:rPr>
          <w:rFonts w:ascii="Times New Roman"/>
          <w:b w:val="false"/>
          <w:i w:val="false"/>
          <w:color w:val="000000"/>
          <w:sz w:val="28"/>
        </w:rPr>
        <w:t>статьей 3-1</w:t>
      </w:r>
      <w:r>
        <w:rPr>
          <w:rFonts w:ascii="Times New Roman"/>
          <w:b w:val="false"/>
          <w:i w:val="false"/>
          <w:color w:val="000000"/>
          <w:sz w:val="28"/>
        </w:rPr>
        <w:t xml:space="preserve"> Закона, уполномоченный орган заключает с субъектом рынка ценных бумаг и (или) лицом, обладающим признаками крупного участника, крупным участником организации, осуществляющей инвестиционное управление пенсионными активами, письменное соглашение о необходимости устранения выявленных недостатков и об утверждении в связи с этим первоочередных мер.</w:t>
      </w:r>
      <w:r>
        <w:br/>
      </w:r>
      <w:r>
        <w:rPr>
          <w:rFonts w:ascii="Times New Roman"/>
          <w:b w:val="false"/>
          <w:i w:val="false"/>
          <w:color w:val="000000"/>
          <w:sz w:val="28"/>
        </w:rPr>
        <w:t>
</w:t>
      </w:r>
      <w:r>
        <w:rPr>
          <w:rFonts w:ascii="Times New Roman"/>
          <w:b w:val="false"/>
          <w:i w:val="false"/>
          <w:color w:val="000000"/>
          <w:sz w:val="28"/>
        </w:rPr>
        <w:t>
      20. В письменном соглашении указываются действия по устранению недостатков и сроки их исполнения, которые предстоит предпринять органу управления и (или) исполнительному органу субъекта рынка ценных бумаг, и (или) юридического лица, обладающего признаками крупного участника, крупного участника организации, осуществляющей инвестиционное управление пенсионными активами, являющегося юридическим лицом, и (или) физическому лицу, обладающему признаками крупного участника, крупному участнику организации, осуществляющей инвестиционное управление пенсионными активами, являющемуся физическим лицом, в качестве первоочередных мер.</w:t>
      </w:r>
      <w:r>
        <w:br/>
      </w:r>
      <w:r>
        <w:rPr>
          <w:rFonts w:ascii="Times New Roman"/>
          <w:b w:val="false"/>
          <w:i w:val="false"/>
          <w:color w:val="000000"/>
          <w:sz w:val="28"/>
        </w:rPr>
        <w:t>
</w:t>
      </w:r>
      <w:r>
        <w:rPr>
          <w:rFonts w:ascii="Times New Roman"/>
          <w:b w:val="false"/>
          <w:i w:val="false"/>
          <w:color w:val="000000"/>
          <w:sz w:val="28"/>
        </w:rPr>
        <w:t>
      21. При утверждении первоочередных мер в письменное соглашение также включаются условия, направленные на:</w:t>
      </w:r>
      <w:r>
        <w:br/>
      </w:r>
      <w:r>
        <w:rPr>
          <w:rFonts w:ascii="Times New Roman"/>
          <w:b w:val="false"/>
          <w:i w:val="false"/>
          <w:color w:val="000000"/>
          <w:sz w:val="28"/>
        </w:rPr>
        <w:t>
</w:t>
      </w:r>
      <w:r>
        <w:rPr>
          <w:rFonts w:ascii="Times New Roman"/>
          <w:b w:val="false"/>
          <w:i w:val="false"/>
          <w:color w:val="000000"/>
          <w:sz w:val="28"/>
        </w:rPr>
        <w:t>
      1) снижение рисков субъекта рынка ценных бумаг и (или) лица, обладающего признаками крупного участника, крупного участника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2) установление обязательства субъекта рынка ценных бумаг и (или) лица, обладающего признаками крупного участника, крупного участника организации, осуществляющей инвестиционное управление пенсионными активами, не совершать действий, которые влекут ухудшение финансового состояния субъекта рынка ценных бумаг и (или) лица, обладающего признаками крупного участника, крупного участника организации, осуществляющей инвестиционное управление пенсионными активами, а также повторное нарушение указанными лицами требований законодательства Республики Казахстан и (или) ограниченных мер воздействия, примененных уполномоченным органом.</w:t>
      </w:r>
      <w:r>
        <w:br/>
      </w:r>
      <w:r>
        <w:rPr>
          <w:rFonts w:ascii="Times New Roman"/>
          <w:b w:val="false"/>
          <w:i w:val="false"/>
          <w:color w:val="000000"/>
          <w:sz w:val="28"/>
        </w:rPr>
        <w:t>
</w:t>
      </w:r>
      <w:r>
        <w:rPr>
          <w:rFonts w:ascii="Times New Roman"/>
          <w:b w:val="false"/>
          <w:i w:val="false"/>
          <w:color w:val="000000"/>
          <w:sz w:val="28"/>
        </w:rPr>
        <w:t>
      22. Лицо (лица), подписавшее (подписавшие) письменное соглашение, принимает (принимают) на себя обязательства по выполнению его условий.</w:t>
      </w:r>
      <w:r>
        <w:br/>
      </w:r>
      <w:r>
        <w:rPr>
          <w:rFonts w:ascii="Times New Roman"/>
          <w:b w:val="false"/>
          <w:i w:val="false"/>
          <w:color w:val="000000"/>
          <w:sz w:val="28"/>
        </w:rPr>
        <w:t>
</w:t>
      </w:r>
      <w:r>
        <w:rPr>
          <w:rFonts w:ascii="Times New Roman"/>
          <w:b w:val="false"/>
          <w:i w:val="false"/>
          <w:color w:val="000000"/>
          <w:sz w:val="28"/>
        </w:rPr>
        <w:t>
      23. Письменное соглашение составляется в четырех экземплярах по два экземпляра на государственном и русском языках, имеющих одинаковую юридическую силу.</w:t>
      </w:r>
      <w:r>
        <w:br/>
      </w:r>
      <w:r>
        <w:rPr>
          <w:rFonts w:ascii="Times New Roman"/>
          <w:b w:val="false"/>
          <w:i w:val="false"/>
          <w:color w:val="000000"/>
          <w:sz w:val="28"/>
        </w:rPr>
        <w:t>
</w:t>
      </w:r>
      <w:r>
        <w:rPr>
          <w:rFonts w:ascii="Times New Roman"/>
          <w:b w:val="false"/>
          <w:i w:val="false"/>
          <w:color w:val="000000"/>
          <w:sz w:val="28"/>
        </w:rPr>
        <w:t>
      Четыре экземпляра письменного соглашения, подписанного уполномоченным органом, направляются с сопроводительным письмом в адрес субъекта рынка ценных бумаг и (или) лица, обладающего признаками крупного участника, крупного участника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Субъект рынка ценных бумаг и (или) лицо, обладающее признаками крупного участника, крупный участник организации, осуществляющей инвестиционное управление пенсионными активами, подписывает письменное соглашение и представляет в уполномоченный орган подписанные два экземпляра (по одному экземпляру на государственном и русском языках) в течение пяти рабочих дней после даты его получения.</w:t>
      </w:r>
    </w:p>
    <w:bookmarkEnd w:id="16"/>
    <w:bookmarkStart w:name="z63" w:id="17"/>
    <w:p>
      <w:pPr>
        <w:spacing w:after="0"/>
        <w:ind w:left="0"/>
        <w:jc w:val="left"/>
      </w:pPr>
      <w:r>
        <w:rPr>
          <w:rFonts w:ascii="Times New Roman"/>
          <w:b/>
          <w:i w:val="false"/>
          <w:color w:val="000000"/>
        </w:rPr>
        <w:t xml:space="preserve"> 
7. Заключительные положения</w:t>
      </w:r>
    </w:p>
    <w:bookmarkEnd w:id="17"/>
    <w:bookmarkStart w:name="z64" w:id="18"/>
    <w:p>
      <w:pPr>
        <w:spacing w:after="0"/>
        <w:ind w:left="0"/>
        <w:jc w:val="both"/>
      </w:pPr>
      <w:r>
        <w:rPr>
          <w:rFonts w:ascii="Times New Roman"/>
          <w:b w:val="false"/>
          <w:i w:val="false"/>
          <w:color w:val="000000"/>
          <w:sz w:val="28"/>
        </w:rPr>
        <w:t>
      24. Лицо, обладающее признаками крупного участника, или крупный участник организации, осуществляющей инвестиционное управление пенсионными активами, в течение пяти календарных дней после даты получения уведомления уполномоченного органа о применении в отношении него ограниченной меры воздействия, ставит в известность об этом всех членов исполнительного органа и органа управления организации, осуществляющей инвестиционное управление пенсионными активами, лицом, обладающим признаками крупного участника, крупным участником которого он является, а также остальных лиц, обладающих признаками крупного участника, и крупных участников данной организации, осуществляющей инвестиционное управление пенсионными активами.</w:t>
      </w:r>
      <w:r>
        <w:br/>
      </w:r>
      <w:r>
        <w:rPr>
          <w:rFonts w:ascii="Times New Roman"/>
          <w:b w:val="false"/>
          <w:i w:val="false"/>
          <w:color w:val="000000"/>
          <w:sz w:val="28"/>
        </w:rPr>
        <w:t>
</w:t>
      </w:r>
      <w:r>
        <w:rPr>
          <w:rFonts w:ascii="Times New Roman"/>
          <w:b w:val="false"/>
          <w:i w:val="false"/>
          <w:color w:val="000000"/>
          <w:sz w:val="28"/>
        </w:rPr>
        <w:t>
      Организация, осуществляющая инвестиционное управление пенсионными активами, в срок, указанный в части первой настоящего пункта, ставит в известность о вынесении в отношении нее ограниченной меры воздействия всех своих крупных участников и лиц, обладающих признаками крупных участников.</w:t>
      </w:r>
      <w:r>
        <w:br/>
      </w:r>
      <w:r>
        <w:rPr>
          <w:rFonts w:ascii="Times New Roman"/>
          <w:b w:val="false"/>
          <w:i w:val="false"/>
          <w:color w:val="000000"/>
          <w:sz w:val="28"/>
        </w:rPr>
        <w:t>
</w:t>
      </w:r>
      <w:r>
        <w:rPr>
          <w:rFonts w:ascii="Times New Roman"/>
          <w:b w:val="false"/>
          <w:i w:val="false"/>
          <w:color w:val="000000"/>
          <w:sz w:val="28"/>
        </w:rPr>
        <w:t>
      25. Субъект рынка ценных бумаг и (или) лицо, обладающее признаками крупного участника, крупный участник организации, осуществляющей инвестиционное управление пенсионными активами, письменно уведомляет уполномоченный орган об исполнении ограниченной меры воздействия в срок, установленный данной ограниченной мерой воздействия.</w:t>
      </w:r>
      <w:r>
        <w:br/>
      </w:r>
      <w:r>
        <w:rPr>
          <w:rFonts w:ascii="Times New Roman"/>
          <w:b w:val="false"/>
          <w:i w:val="false"/>
          <w:color w:val="000000"/>
          <w:sz w:val="28"/>
        </w:rPr>
        <w:t>
</w:t>
      </w:r>
      <w:r>
        <w:rPr>
          <w:rFonts w:ascii="Times New Roman"/>
          <w:b w:val="false"/>
          <w:i w:val="false"/>
          <w:color w:val="000000"/>
          <w:sz w:val="28"/>
        </w:rPr>
        <w:t>
      26. Если примененной уполномоченным органом ограниченной мерой воздействия предусмотрено предоставление перечня запланированных мероприятий субъект рынка ценных бумаг и (или) лицо, обладающее признаками крупного участника, крупный участник организации, осуществляющей инвестиционное управление пенсионными активами, в срок, указанный в уведомлении уполномоченного органа о применении ограниченной меры воздействия, и составляющий не менее чем пятнадцать календарных дней, представляет в уполномоченный орган перечень запланированных мероприятий по устранению выявленных нарушений законодательства Республики Казахстан и (или) недопущению их впредь с указанием сроков исполнения запланированных мероприятий и должностных лиц, ответственных за принятие коррективных мер.</w:t>
      </w:r>
      <w:r>
        <w:br/>
      </w:r>
      <w:r>
        <w:rPr>
          <w:rFonts w:ascii="Times New Roman"/>
          <w:b w:val="false"/>
          <w:i w:val="false"/>
          <w:color w:val="000000"/>
          <w:sz w:val="28"/>
        </w:rPr>
        <w:t>
</w:t>
      </w:r>
      <w:r>
        <w:rPr>
          <w:rFonts w:ascii="Times New Roman"/>
          <w:b w:val="false"/>
          <w:i w:val="false"/>
          <w:color w:val="000000"/>
          <w:sz w:val="28"/>
        </w:rPr>
        <w:t>
      Перечень запланированных мероприятий, предоставляемый субъектом рынка ценных бумаг и (или) юридическим лицом, обладающим признаками крупного участника, крупным участником организации, осуществляющей инвестиционное управление пенсионными активами, являющимся юридическим лицом, подлежит утверждению органом управления субъекта рынка ценных бумаг и (или) лица, обладающего признаками крупного участника, крупного участника организации, осуществляющей инвестиционное управление пенсионными активами (при его наличии).</w:t>
      </w:r>
      <w:r>
        <w:br/>
      </w:r>
      <w:r>
        <w:rPr>
          <w:rFonts w:ascii="Times New Roman"/>
          <w:b w:val="false"/>
          <w:i w:val="false"/>
          <w:color w:val="000000"/>
          <w:sz w:val="28"/>
        </w:rPr>
        <w:t>
</w:t>
      </w:r>
      <w:r>
        <w:rPr>
          <w:rFonts w:ascii="Times New Roman"/>
          <w:b w:val="false"/>
          <w:i w:val="false"/>
          <w:color w:val="000000"/>
          <w:sz w:val="28"/>
        </w:rPr>
        <w:t>
      27. Уполномоченный орган рассматривает предоставленный перечень запланированных мероприятий в течение десяти календарных дней после даты его получения.</w:t>
      </w:r>
      <w:r>
        <w:br/>
      </w:r>
      <w:r>
        <w:rPr>
          <w:rFonts w:ascii="Times New Roman"/>
          <w:b w:val="false"/>
          <w:i w:val="false"/>
          <w:color w:val="000000"/>
          <w:sz w:val="28"/>
        </w:rPr>
        <w:t>
</w:t>
      </w:r>
      <w:r>
        <w:rPr>
          <w:rFonts w:ascii="Times New Roman"/>
          <w:b w:val="false"/>
          <w:i w:val="false"/>
          <w:color w:val="000000"/>
          <w:sz w:val="28"/>
        </w:rPr>
        <w:t>
      В случае несогласия с перечнем запланированных мероприятий уполномоченный орган направляет письмо, содержащее замечания к перечню запланированных мероприятий, которые устраняются субъектом рынка ценных бумаг и (или) лицом, обладающим признаками крупного участника, крупным участником организации, осуществляющей инвестиционное управление пенсионными активами. Откорректированный перечень запланированных мероприятий представляется в уполномоченный орган в течение десяти календарных дней после даты получения письма уполномоченного органа.</w:t>
      </w:r>
      <w:r>
        <w:br/>
      </w:r>
      <w:r>
        <w:rPr>
          <w:rFonts w:ascii="Times New Roman"/>
          <w:b w:val="false"/>
          <w:i w:val="false"/>
          <w:color w:val="000000"/>
          <w:sz w:val="28"/>
        </w:rPr>
        <w:t>
</w:t>
      </w:r>
      <w:r>
        <w:rPr>
          <w:rFonts w:ascii="Times New Roman"/>
          <w:b w:val="false"/>
          <w:i w:val="false"/>
          <w:color w:val="000000"/>
          <w:sz w:val="28"/>
        </w:rPr>
        <w:t>
      28. В случае предоставления в уполномоченный орган перечня запланированных мероприятий субъект рынка ценных бумаг и (или) лицо, обладающее признаками крупного участника, крупный участник организации, осуществляющей инвестиционное управление пенсионными активами, уведомляют уполномоченный орган об исполнении запланированных мероприятий в течение пяти рабочих дней после запланированной даты их исполнения.</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