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2e37" w14:textId="6a92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25 июля 2006 года № 66 "Об утверждении Правил выбора внешних управляющих активами Национального фонда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мая 2012 года № 181. Зарегистрировано в Министерстве юстиции Республики Казахстан 19 июля 2012 году № 7803. Утратило силу постановлением Правления Национального Банка Республики Казахстан от 30 мая 2016 года № 126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 и в целях совершенствования порядка выбора внешних управляющих активами Национального фонда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июля 2006 года № 66 «Об утверждении Правил выбора внешних управляющих активами Национального фонда Республики Казахстан» (зарегистрированное в Реестре государственной регистрации нормативных правовых актов Республики Казахстан под № 4360)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выбора внешних управляющих активами Национального фонда Республики Казахстан, утвержденных указанным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«15-1. Если внешний управляющий, осуществляющий внешнее управление золотовалютными активами Национального Банка, удовлетворяет критериям, установленным пунктами 19-1 и 19-2 настоящих Правил, то по решению Полномочного представителя, Председателя или Заместителя Председателя, курирующего уполномоченное подразделение, его кандидатура выносится на рассмотрение Правления Национального Банка без проведения процедур, предусмотренных пунктами 16, 17, 18 и 19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«35. Процедура оценки эффективности работы внешнего управляющего осуществляется в соответствии с показателями оценки эффективности работы внешнего управляющего, приведенными в приложении 4 к настоящим Правилам, и по результатам проведенного анализа Правлением Национального Банка либо Полномочным представителем принимается соответствующее решение о продолжении работы с данным внешним управляющим или о ее прекращении. Решение принимается на основе результатов внешнего управляющего за период управления в 3 (три)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«35-1. В случае если кумулятивная сверхдоходность, полученная внешним управляющим за прошлый период, отрицательная и ее абсолютное значение превышает абсолютное значение установленного лимита показателя изменчивости отклонения доходности (tracking error) по соответствующему мандату, то на рассмотрение Правления Национального Банка выносится вопрос о расторжении соглашения о доверительном управлении с данным внешним управляющим»;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«36. Если происходит нарушение лимита Фонда, передаваемого во внешнее управление ввиду слияния двух действующих внешних управляющих, уполномоченное подразделение вносит на рассмотрение Полномочного представителя вопрос о расторжении соглашения с одним из двух внешних управляющих, показавшим низкий результат согласно показателям оценки эффективности работы внешнего управляющего, приведенным в приложении 4 к настоящим Правилам. Указанное нарушение устраняется в течение 4 (четырех) месяцев со дня возникновения.»;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Жамишев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июня 2012 года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мая 2012 года № 181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выбора внешних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управляющих активами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фонда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Показатели</w:t>
      </w:r>
      <w:r>
        <w:br/>
      </w:r>
      <w:r>
        <w:rPr>
          <w:rFonts w:ascii="Times New Roman"/>
          <w:b/>
          <w:i w:val="false"/>
          <w:color w:val="000000"/>
        </w:rPr>
        <w:t>
оценки эффективности работы внешнего управляющего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Основной целью является оценка и выставление баллов внешним управляющим согласно количественным и качественным показателям во избежание субъективности при оценке работы внешнего управляющего.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Количественные показатели: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Информационный коэффициент (Information ration)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4253"/>
      </w:tblGrid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(Information ration)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балла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0,5 - 1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балла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0 - 0,5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балла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балла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 0,5 - 0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 1 балла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 1 - (-) 0,5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 2 балла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&lt;(-) 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 3 балла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Качественные показатели: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Передвижения персонала (Staff turnover);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4973"/>
      </w:tblGrid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Передвижения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(Staff turnover)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30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 0,5 балла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5 - 30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 0,25 балла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0 - 5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балла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Операционный риск (Operational risk).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каждый факт нарушения инвестиционных ограничений вследствие операционной ошибки из оценки отнимается 0,2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систематического непредставления отчетности в указанные сроки из оценки отнимается 0,2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деловой этики (compliance with a Code of Business Ethics).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каждый факт нарушения внешним управляющим деловой этики из оценки отнимается 0,5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систематического несвоевременного исполнения поручений клиента из оценки отнимается 0,5 балла.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