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3b3c" w14:textId="be13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подключение к электрическим сетям электроустановок потребителей с установленной мощностью свыше 100 кВт"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новых технологий Республики Казахстан от 21 сентября 2012 года № 331. Зарегистрирован в Министерстве юстиции Республики Казахстан 3 октября 2012 года № 7972. Утратил силу приказом Заместителя Премьер-Министра Республики Казахстан - Министра индустрии и новых технологий Республики Казахстан от 2 июня 2014 года №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РК - Министра индустрии и новых технологий РК от 02.06.2014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подключение к электрическим сетям электроустановок потребителей с установленной мощностью свыше 100 кВт».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энергетического надзора и контроля Министерства индустрии и новых технологий Республики Казахстан (Турлубек А.А.):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Джаксалиева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Исекешев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сентября 2012 года № 331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разрешения</w:t>
      </w:r>
      <w:r>
        <w:br/>
      </w:r>
      <w:r>
        <w:rPr>
          <w:rFonts w:ascii="Times New Roman"/>
          <w:b/>
          <w:i w:val="false"/>
          <w:color w:val="000000"/>
        </w:rPr>
        <w:t>
на подключение к электрическим сетям электроустановок</w:t>
      </w:r>
      <w:r>
        <w:br/>
      </w:r>
      <w:r>
        <w:rPr>
          <w:rFonts w:ascii="Times New Roman"/>
          <w:b/>
          <w:i w:val="false"/>
          <w:color w:val="000000"/>
        </w:rPr>
        <w:t>
потребителей с установленной мощностью свыше 100 кВт»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 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разрешения на подключение к электрическим сетям электроустановок потребителей с установленной мощностью свыше 100 кВт»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департаментами областей, городов Астаны и Алматы Комитета государственного энергетического надзора и контроля Министерства индустрии и новых технологий Республики Казахстан (далее - Департамент).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процессе оказания государственной услуги участие других органов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подпункта 3) пункта 10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электроэнергетике»;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подключение к электрическим сетям электроустановок потребителей с установленной мощностью свыше 100 кВт», утвержденного постановлением Правительства Республики Казахстан от 31 августа 2012 года № 1133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подключение к электрическим сетям электроустановок потребителей с установленной мощностью свыше 100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мотивированного ответа об отказе в предоставлении государственной услуги с указанием причин отказа.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по адресам, указанным в приложении 1 к Стандарту, в рабочие дни с 9.00 до 18.30 часов с перерывом на обед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предоставлении государственной услуги и предоставляемых документах размещены на интернет-ресурсе Комитета государственного энергетического надзора и контроля Министерства индустрии и новых технологий Республики Казахстан: www.kgen.gov.kz. и Департаментов.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департаментом: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пятнадцати рабочих дней с момента подачи получателем государственной услуги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 момента получения документов получателя государственной услуги департамент направляет письменный мотивированный ответ об отказе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заявителя, составляет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составляет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предоставляет перечень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в Департамент для получения государственной услуги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даты (время)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и места получения государственной услуги потребителем;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отчество, подпись уполномоченного должностного лица, принявшего заявление на оформление документов.</w:t>
      </w:r>
    </w:p>
    <w:bookmarkEnd w:id="6"/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регистрируются в базе данных Единой системы электронного документооборота Департамента с прикреплением сканированных копий всех документов, представленных получателем государственной услуги, а также в журнале учета обращений физических (юридических) лиц в день их поступления: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зарегистрированные документы передаются руководству Департамента для наложения резолюции и определения ответственного лица,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 с резолюцией директора Департамента направляются ответственному лицу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оформляет разрешение либо мотивированный ответ об отказе в предоставлении государственной услуги с указанием причин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оформленное разрешение или мотивированный ответ об отказе в предоставлении государственной услуги с указанием причин отказа подписывается директором Департамента, передается должностному лицу, ответственному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разрешение или мотивированный ответ об отказе в предоставлении государственной услуги с указанием причин отказа регистрируется, отправляется (выдается) получателю государственной услуги по почте либо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Требований к информационной безопасности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за документооборот.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последовательности и взаимодействие административных действий (процедур)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подключение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электрическим сетям электроустановок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потребителей с установленной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мощностью свыше 100 кВт»         </w:t>
      </w:r>
    </w:p>
    <w:bookmarkEnd w:id="9"/>
    <w:bookmarkStart w:name="z5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8"/>
        <w:gridCol w:w="1781"/>
        <w:gridCol w:w="1888"/>
        <w:gridCol w:w="1696"/>
        <w:gridCol w:w="1909"/>
        <w:gridCol w:w="1696"/>
        <w:gridCol w:w="1696"/>
        <w:gridCol w:w="1506"/>
      </w:tblGrid>
      <w:tr>
        <w:trPr>
          <w:trHeight w:val="1515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тооборот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отказа.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отказа.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(выдача)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почте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нарочно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</w:t>
      </w:r>
    </w:p>
    <w:bookmarkEnd w:id="12"/>
    <w:bookmarkStart w:name="z5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Основной процесс – в случае утверждения решения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государственной услуги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2124"/>
        <w:gridCol w:w="2714"/>
        <w:gridCol w:w="3221"/>
        <w:gridCol w:w="3476"/>
      </w:tblGrid>
      <w:tr>
        <w:trPr>
          <w:trHeight w:val="9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документооборот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24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регистрация. Выдача расписки о приеме документов (в течение дня)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дня)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дня)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позднее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дней)</w:t>
            </w:r>
          </w:p>
        </w:tc>
      </w:tr>
      <w:tr>
        <w:trPr>
          <w:trHeight w:val="30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дня)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выдача)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дня)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</w:t>
      </w:r>
    </w:p>
    <w:bookmarkEnd w:id="14"/>
    <w:bookmarkStart w:name="z5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Альтернативный процесс в случае утверждения решения</w:t>
      </w:r>
      <w:r>
        <w:br/>
      </w:r>
      <w:r>
        <w:rPr>
          <w:rFonts w:ascii="Times New Roman"/>
          <w:b/>
          <w:i w:val="false"/>
          <w:color w:val="000000"/>
        </w:rPr>
        <w:t>
об отказе в представлении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4662"/>
        <w:gridCol w:w="3244"/>
        <w:gridCol w:w="3037"/>
      </w:tblGrid>
      <w:tr>
        <w:trPr>
          <w:trHeight w:val="1725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документооборот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120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 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(в течение дня)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дня)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резолюции,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  дня)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причин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 дней)</w:t>
            </w:r>
          </w:p>
        </w:tc>
      </w:tr>
      <w:tr>
        <w:trPr>
          <w:trHeight w:val="102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дня)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(выдача) по почте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причин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дня)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подключение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электрическим сетям электроустановок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потребителей с установленной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мощностью свыше 100 кВт»         </w:t>
      </w:r>
    </w:p>
    <w:bookmarkEnd w:id="16"/>
    <w:bookmarkStart w:name="z5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 </w:t>
      </w:r>
      <w:r>
        <w:drawing>
          <wp:inline distT="0" distB="0" distL="0" distR="0">
            <wp:extent cx="62992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