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a51c" w14:textId="490a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на обучение в Академию государственного управления при Президенте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27 декабря 2012 года № 02-01-02/181. Зарегистрирован в Министерстве юстиции Республики Казахстан 28 декабря 2012 года № 8250. Утратил силу приказом Председателя Агентства Республики Казахстан по делам государственной службы от 29 марта 2014 года № 04-2-4/56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от 29.03.2014 </w:t>
      </w:r>
      <w:r>
        <w:rPr>
          <w:rFonts w:ascii="Times New Roman"/>
          <w:b w:val="false"/>
          <w:i w:val="false"/>
          <w:color w:val="ff0000"/>
          <w:sz w:val="28"/>
        </w:rPr>
        <w:t>№ 04-2-4/56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«Прием на обучение в Академию государственного управления при Президенте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прохождения государственной службы Агентства Республики Казахстан по делам государственной службы (Утешев М.И.):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заведующего Отделом прохождения государственной службы Утешева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А. Байменов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02-01-02/181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на обучение в Академию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«Прием на обучение в Академию государственного управления при Президенте Республики Казахстан»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на обучение в Академию государственного управления при Президенте Республики Казахстан» (далее – Стандарт), утвержденным постановлением Правительства Республики Казахстан от 27 декабря 2012 года № 1687 «Об утверждении стандартов государственных услуг Агентства Республики Казахстан по делам государственной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- государственная услуга по обучению, оказываемая Академией государственного управления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послевузовская программа – уровень образования, профессиональные программы которых направлены на подготовку научных и педагогических кадров высшей квалификации и последовательное повышение уровня их научной и педагогической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магистратура – профессиональная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«магистр»;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докторантура – профессиональная образовательная программа послевузовского образования, направленная на подготовку научных и педагогических кадров с присуждением ученой степени доктор по профилю с нормативным сроком обучения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получатель государственной услуги – граждане Республики Казахстан, иностранные граждане и лица без гражданства, постоянно проживающие на территории Республики Казахстан, освоившие профессиональные учебные программы высшего (для магистратуры) и послевузовского (для докторантуры)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– «РГКП Академией государственного управления при Президенте Республики Казахстан» (далее - Академия).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законов Республики Казахстан от 27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от 18 февраля 2011 года «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 109 «Об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образования», Правил о порядке приема в Академию, утвержденных ректором Академии на заседании ученого совета от 6 июня 2012 года (далее – Правила), устава Республиканского государственного казенного предприятия «Академия государственного управления при Президенте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выписка из приказа о зачислении в число обучающихся по программам послевузовского образования (магистратура, докторантура) Академии (далее – выписка) в бумажном виде либо мотивированный ответ об отказе в предоставлении государственной услуги.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Академии. Режим помещения: вход в здание осуществляется по удостоверению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 имеет круглосуточный пост охраны, противопожарные сигнализации и другие меры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соответствии с графиком проведения вступительных экзаменов, формируемым Академией, без предварительной записи,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государственной услуге размещается на интернет-ресурсе Академии: www.pa-academy.kz.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оказании государственной услуги является не соблюдение норм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этап – выдача талона о приеме документов для участия в вступительных конкурсных экзаменах;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этап – успешная сдача вступительных конкурсных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этап – участие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этап – зачисление в число обучающихся.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представляет в приемную комиссию Академии перечень документов согласно Правилам приема в магистратуру и докторантуру, утвержденным приказом Председателя Агентства Республики Казахстан по делам государственной службы,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после зачисления в число обучающихся Академии получает удостоверение обучающегося и зачетную книжку.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«Прием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Академию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при Президенте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 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3049"/>
        <w:gridCol w:w="3197"/>
        <w:gridCol w:w="3133"/>
        <w:gridCol w:w="3936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СФЕ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</w:p>
        </w:tc>
      </w:tr>
      <w:tr>
        <w:trPr>
          <w:trHeight w:val="16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секретарь Приемной комиссии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июня по 20 июля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секретарь Приемной комиссии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учета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июня по 20 июля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Предметная комиссия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вступительных экзаменов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августа по 20 августа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сдачи экзаменов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комиссия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 августа 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решений Приемной комиссии о зачислении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Ректор, ответственный секретарь приемной комиссии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приказа о зачислении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августа 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«Прием на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Академию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при Президенте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Процесс государственной услуги по приему на обучение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1882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«Прием на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Академию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при Президенте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Направление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государственного органа или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направляющего работника на обучение)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должность, категория)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обучение ___________________________ со сроком обучения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выражаем согласие на подписание трехстороннего договора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обучения (в случае принятия Приемной комиссией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положительного решения о зачислении)_________________________________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работника, направляемого на обучение)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издания соответствующего приказа Академии о зачислении.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                                               _______________</w:t>
      </w:r>
    </w:p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«Прием на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Академию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при Президенте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Академия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при Президенте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Ректору Академии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проживающего(ей)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(указать адрес постоянного местожительства, №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Данные паспорта или удостоверения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меня к вступительным экзаменам для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(магистратура, докторантура, Национальная школа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политики)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очной формы обучения на бюджетной/платной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(подчеркнуть)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специальности: _____________ со сроком обучения ______________ год(а)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Дата рождения </w:t>
      </w:r>
      <w:r>
        <w:rPr>
          <w:rFonts w:ascii="Times New Roman"/>
          <w:b w:val="false"/>
          <w:i/>
          <w:color w:val="000000"/>
          <w:sz w:val="28"/>
        </w:rPr>
        <w:t>(число, месяц, год рождения)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Национальность, пол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Семейное положение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ВУЗа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и год окончания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рейтинговый балл по диплому </w:t>
      </w:r>
      <w:r>
        <w:rPr>
          <w:rFonts w:ascii="Times New Roman"/>
          <w:b w:val="false"/>
          <w:i/>
          <w:color w:val="000000"/>
          <w:sz w:val="28"/>
        </w:rPr>
        <w:t>(с указанием № диплома)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 работы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Номер телефонов: служебный_________; домашний______________;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сотовый__________________; контактный_________________________;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Электронный адрес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Общий стаж работы __, из них стаж государственной службы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Политический или административный государственный 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</w:t>
      </w:r>
      <w:r>
        <w:rPr>
          <w:rFonts w:ascii="Times New Roman"/>
          <w:b w:val="false"/>
          <w:i/>
          <w:color w:val="000000"/>
          <w:sz w:val="28"/>
        </w:rPr>
        <w:t>подчеркнуть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Категория (для административных служащих)_________________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Кем рекомендован на учебу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исходящего документа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Какой иностранный язык будете сдавать на вступительных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экзаменах: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английский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французский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немецкий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Язык сдачи вступительных экзаменов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или русский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Мотивы поступления в Академию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проинформирован (-а) и согласен (-на) с тем, что любые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искажения и неточности в представленных мною сведениях могут служить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отказа в допуске к вступительным экзаменам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исключения из Академии в процессе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 (-а) с требованиями Правил приема в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Академии и обязуюсь их соблюдать.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 2012 г.                         Подпись 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