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5ef3" w14:textId="9cd5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экономического развития и торговли от 19 января 2012 года № 14 "Об утверждении Методики по оценке эффективности достижения и реализации стратегических целей и задач в курируемых отрасли/сфере/регионе"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экономического развития и торговли Республики Казахстан от 29 декабря 2012 года № 351. Зарегистрирован в Министерстве юстиции Республики Казахстан 14 января 2013 года № 8259. Утратил силу приказом Министра экономики и бюджетного планирования Республики Казахстан от 20 февраля 2014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20.02.2014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19 января 2012 года № 14 «Об утверждении Методики по оценке эффективности достижения и реализации стратегических целей и задач в курируемых отрасли/сфере/регионе» (зарегистрированный в Реестре государственной регистрации нормативных правовых актов № 7389, опубликованный 18 февраля 2012 года в газете «Казахстанская правда» № 51 (26870)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эффективности достижения и реализации стратегических целей и задач в курируемых отрасли/сфере/регионе,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экономического развития и торговли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течение 10 календарных дней после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официальное опубликование настоящего приказа в течение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опубликование настоящего приказа на официальном интернет-ресурсе Министерства экономического развития и торговли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экономического развития и торговли Республики Казахстан Абылкасымову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   М. Кусаинов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351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
по оценке эффективности достижения и реализации стратегических</w:t>
      </w:r>
      <w:r>
        <w:br/>
      </w:r>
      <w:r>
        <w:rPr>
          <w:rFonts w:ascii="Times New Roman"/>
          <w:b/>
          <w:i w:val="false"/>
          <w:color w:val="000000"/>
        </w:rPr>
        <w:t>
целей и задач в курируемых отрасли/сфере/регионе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Методика по оценке эффективности достижения и реализации стратегических целей и задач в курируемых отрасли/сфере/регионе (далее – Методика)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(далее – Система оценки).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эффективности мер оцениваемых центральных государственных и местных исполнительных органов (далее – государственные органы), направленных на развитие курируемой отрасли/сферы/региона.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 достижения и реализации стратегических целей и задач в курируемых отрасли/сфере/регионе (далее – Оценка эффективности) осуществляется согласно Графику проведения ежегодной оценки эффективности деятельности государственных органов, утверждаемому Администрацией Президента Республики Казахстан (далее – График оценки).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Оценка эффективности осуществляется следующими государственными органами (далее – уполномоченные на оценку государственные органы):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экономического развития и торговли Республики Казахстан (далее – Министерство) – Оценка эффективности центральных государственных органов и местных исполнительных органов, за исключением оценки эффективности данного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Канцелярией Премьер-Министра Республики Казахстан – Оценка эффективности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Администрацией Президента Республики Казахстан – Оценка эффективности центральных государственных органов, непосредственно  подчиненных и подотчетных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эффективности Министерством создается Рабочая подгруппа из числа должностных лиц (далее – Рабочая подгруппа), являющаяся подгруппой рабочего органа Экспертной комиссии по формированию экспертного заключения о результатах общей оценки эффективности по направлениям в рамках Системы оценки (далее – Экспертная комиссия).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Источники информации для оценки</w:t>
      </w:r>
      <w:r>
        <w:br/>
      </w:r>
      <w:r>
        <w:rPr>
          <w:rFonts w:ascii="Times New Roman"/>
          <w:b/>
          <w:i w:val="false"/>
          <w:color w:val="000000"/>
        </w:rPr>
        <w:t>
эффективности достижения и реализации целей и задач</w:t>
      </w:r>
      <w:r>
        <w:br/>
      </w:r>
      <w:r>
        <w:rPr>
          <w:rFonts w:ascii="Times New Roman"/>
          <w:b/>
          <w:i w:val="false"/>
          <w:color w:val="000000"/>
        </w:rPr>
        <w:t>
в курируемых отрасли/сфере/регионе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Оценка эффективности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стратегического плана центрального государственного органа, в том числе разделов 2, 3 и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отчета о реализации стратегического плана центрального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территории области, города республиканского значения, столицы (далее – Программа развития территории), в том числе разделов 2 и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отчета о реализации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статистических и ведомственных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источников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Рабочая подгруппа проводит анализ отчетной информации оцениваемых государственных органов на предмет их достоверности.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Достоверность данных подтверждается статистическими данными, международными показателями конкурентоспособности, а также данными отраслевых центральных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Перепроверка данных, содержащихся</w:t>
      </w:r>
      <w:r>
        <w:br/>
      </w:r>
      <w:r>
        <w:rPr>
          <w:rFonts w:ascii="Times New Roman"/>
          <w:b/>
          <w:i w:val="false"/>
          <w:color w:val="000000"/>
        </w:rPr>
        <w:t>
в отчетной информации оцениваемых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 уполномоченными на оценку государственными органами осуществляется перепроверка данных, содержащихся в отчетной информации оцениваемых государственных органов (далее – Перепроверка).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Перепроверка проводится на предмет определения достоверности информации по достижению прямых и конечных результатов стратегического плана государственных органов/Программы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Перепроверка прямых результатов стратегического плана/ Программы развития территории может осуществляться путем сбора и анализа подтверждающих документов (ведомственные отчеты, акты выполненных работ и оказанных услуг, протокола, письма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Перепроверка конечных результатов стратегического плана/ Программы развития территории осуществляется на основании анализа статистических данных, ведомственных отчетов и иной дополнительной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Процедура перепроверки состоит из запрашивания у оцениваемых государственных органов подтверждающих документов, проведения сверки отчетной информации, составления Акта сверки по итогам перепроверки данных, содержащихся в отчетной информации (далее – Акт сверки)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рамках Перепроверки уполномоченные на оценку государственные органы могут получать электронные копии подтверждающих документов, кроме документов, имеющих гриф секретности.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эффективности достижения и реализации</w:t>
      </w:r>
      <w:r>
        <w:br/>
      </w:r>
      <w:r>
        <w:rPr>
          <w:rFonts w:ascii="Times New Roman"/>
          <w:b/>
          <w:i w:val="false"/>
          <w:color w:val="000000"/>
        </w:rPr>
        <w:t>
стратегических целей и задач в курируемых отрасли/сфере/регионе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Оценка эффективности осуществляется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качество и полнота анализа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(только для центральных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достижение целей и задач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коэффициент результативности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Оценка эффективности для центральных государственных органов рассчитывается с учетом весового значения каждого критерия по следующей формуле: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3"/>
      </w:tblGrid>
      <w:tr>
        <w:trPr>
          <w:trHeight w:val="675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14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оценка эффективности достижения и реализации стратегических целей и задач в курируемых отрасли/сфере/регионе;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- качество и полнота анализа стратегического плана, весовое значение – 0,1;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управление рисками, весовое значение – 0,1;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- достижение целей и задач стратегического плана, весовое значение – 0,8;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 – вычет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Оценка эффективности для местных исполнительных органов осуществляется с учетом весового значения каждого критерия по следующей формуле: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3"/>
      </w:tblGrid>
      <w:tr>
        <w:trPr>
          <w:trHeight w:val="645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оценка эффективности достижения и реализации стратегических целей и задач в курируемых отрасли/сфере/регионе;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качество и полнота анализа Программы развития территории, весовое значение – 0,2;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– достижение целей и задач Программы развития территории, весовое значение – 0,8;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– коэффициент результативности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 – вычет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Расчет по критерию «Качество и полнота анализа стратегического плана/Программы развития территории» осуществляется на основании соответствующих разделов стратегического плана/Программы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качества и полноты анализа выявляется экспертным путем в соответствии с нормативными правовыми актами в сфере государственного планирования, в частности, разработки стратегических планов/Программы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Расчет коэффициента качества и полноты анализа стратегического плана/Программы развития территории осуществляется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27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качества и полноты анализа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качества и полноты анализа каждой основной сферы/направления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основных сфер/направлений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сфера деятельности имеет два и более направлений, то каждому направлению присваивается соответствующий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по сфере коэффициент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равен сумме коэффициентов по каждому направлению, деленной на количество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Для центральных государственных органов осуществляется оценка второго раздела стратегического плана в разрезе основных сфер/направлений деятельности государственного органа. Перечень сфер деятельности центральных государственных органов Республики Казахстан приведен в приложении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качества и полноты анализа стратегического плана проводится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основных проблем в регулируемой сфере/направлении с соответствующим анализом потребностей населения/благополучателей, на решение которых направлен стратегический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взаимосвязь второго раздела с третьим разделом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каждая основная сфера/направление деятельности государственного органа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оценивается по вышеперечисленным двум параметрам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208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на каждый вышеуказанный параметр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присваивается соответствующий коэффициент: 1; 0,5;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первому параметру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стратегическом плане отражены все основные проблемы с соответствующим анализом потребностей населения/благополучателей,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=1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стратегическом плане основные проблемы отражены частично и/или с неполным анализом потребностей населения/благополучателей,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=0,5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стратегическом плане основные проблемы не отражены в стратегическом плане и/или не проводился анализ потребностей  населения/благополучателей, то </w:t>
      </w:r>
      <w:r>
        <w:rPr>
          <w:rFonts w:ascii="Times New Roman"/>
          <w:b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=0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второму параметру (</w:t>
      </w:r>
      <w:r>
        <w:rPr>
          <w:rFonts w:ascii="Times New Roman"/>
          <w:b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анализ стратегического плана (отраженные проблемы, приоритеты развития и др.) в соответствующей сфере/направлении взаимосвязан с третьим разделом стратегического плана через  предусмотренные целевые индикаторы/показатели/мероприятия,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=1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анализ стратегического плана (отраженные проблемы, приоритеты развития и др.) в соответствующей сфере/направлении частично взаимосвязан с третьим разделом стратегического плана и не полностью предусмотрены целевые индикаторы/показатели/мероприятия,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=0,5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анализ стратегического плана (отраженные проблемы, приоритеты развития и др.) в соответствующей сфере/направлении не взаимосвязан с третьим разделом стратегического плана,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=0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Для местных исполнительных органов осуществляется оценка второго раздела Программы развития территории в разрезе основных сфер/направлений деятельности государственного органа, и его взаимосвязь с четвертым разделом Программы развития территории. Перечень сфер деятельности местных исполнительных органов Республики Казахстан в рамках Программы развития территории приведен в приложении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качества и полноты анализа Программы развития территории проводится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основных проблем, стоящих перед регионом, на решение которых направлена Программа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взаимосвязь второго раздела с четвертым разделом 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каждая основная сфера/направление деятельности  государственного органа (Q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оценивается по вышеперечисленным двум параметрам (q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208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на каждый вышеуказанный параметр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присваивается соответствующий коэффициент: 1; 0,5;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первому параметру (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Программе развития территории отражены все основные проблемы региона с соответствующим анализом потребностей населения/ благополучателей, то </w:t>
      </w:r>
      <w:r>
        <w:rPr>
          <w:rFonts w:ascii="Times New Roman"/>
          <w:b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=1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ПРТ основные проблемы региона отражены частично и/или с неполным анализом потребностей населения/благополучателей,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=0,5</w:t>
      </w: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основные проблемы региона не отражены в Программе развития территории и/или не проводился анализ потребностей населения/ благополучателей,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=0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второму параметру (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анализ Программы развития территории (отраженные проблемы, приоритеты развития) по соответствующей сфере/направлению взаимосвязан с четвертым разделом Программы развития территории через предусмотренные целевые индикаторы/показатели/мероприятия,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=1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анализ Программы развития территории (отраженные проблемы, приоритеты развития) по соответствующей сфере/направлению частично взаимосвязан с четвертым разделом Программы развития территории и не полностью предусмотрены целевые индикаторы/показатели/мероприятия,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=0,5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анализ Программы развития территории (отраженные проблемы, приоритеты развития) по соответствующей сфере/направлению не взаимосвязан с четвертым разделом Программы развития территории, то 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=0.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рамках второго параметра, помимо показателей единого перечня, анализируются показатели, включенные в Программу развития территории самими местными исполнительными органами, с учетом специфики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Коэффициент критерия «Управление рисками» определяется путем анализа раздела 6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проводится анализ возможных рисков, предусмотренных в разделе «Управление рисками», которые могут повлиять на ход реализации стратегических планов государственных органов и воспрепятствовать достижению запланированных целей, целевых индикаторов и показателей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анализируются мероприятия по управлению рисками посредством соотношения предусмотренных мероприятий к возможным рискам. Данный подход выявляет формальные мероприятия, которые не способствуют снижению/предотвращению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«Управление рисками» осуществляется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573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– управление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 – коэффициент анализа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>– общее количество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каждый предусмотренный риск присваивается соответствующий коэффициент: 1; 0,5;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риск влияет на ход реализации стратегического плана, и предусмотренные мероприятия направлены на снижение/предотвращение риска, то </w:t>
      </w:r>
      <w:r>
        <w:rPr>
          <w:rFonts w:ascii="Times New Roman"/>
          <w:b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/>
          <w:i w:val="false"/>
          <w:color w:val="000000"/>
          <w:sz w:val="28"/>
        </w:rPr>
        <w:t>=1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риск влияет на ход реализации стратегического плана, но предусмотренные мероприятия не направлены на снижение/предотвращение риска, то </w:t>
      </w:r>
      <w:r>
        <w:rPr>
          <w:rFonts w:ascii="Times New Roman"/>
          <w:b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/>
          <w:i w:val="false"/>
          <w:color w:val="000000"/>
          <w:sz w:val="28"/>
        </w:rPr>
        <w:t>=0,5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риск не влияет на ход реализации стратегического плана, то </w:t>
      </w:r>
      <w:r>
        <w:rPr>
          <w:rFonts w:ascii="Times New Roman"/>
          <w:b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/>
          <w:i w:val="false"/>
          <w:color w:val="000000"/>
          <w:sz w:val="28"/>
        </w:rPr>
        <w:t>=0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Критерий «Достижение целей и задач стратегического плана/ Программы развития территории» определяется путем расчета коэффициента достижения целей. Коэффициент достижения целей в свою очередь состоит из двух составляющих: коэффициента достижения целевых индикаторов, запланированных в достижение соответствующей цели, и коэффициента реализации задач, запланированных в реализацию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Расчет коэффициента критерия «Достижение целей и задач стратегического плана/Программы развития территории» осуществляется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27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 – коэффициент достижения целей и задач стратегического плана/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достижения каждой цели с соответствующими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– количество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достижения каждой цели с соответствующими задачами (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производится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71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цели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реализации задач стратегического плана/Программы развития территории, запланированных в реализацию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достижения цели (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843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достижения каждого целевого индикатора, предусмотренного в достижение соответствующей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целевых индикаторов, предусмотренных в достижение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достижения каждого целевого индикатора (</w:t>
      </w:r>
      <w:r>
        <w:rPr>
          <w:rFonts w:ascii="Times New Roman"/>
          <w:b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), предусмотренного в достижение соответствующей цели стратегического плана/Программы развития территории осуществляется путем соотношения фактического исполнения (улучшения либо ухудшения) к запланированному улучшению.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если </w:t>
      </w:r>
      <w:r>
        <w:rPr>
          <w:rFonts w:ascii="Times New Roman"/>
          <w:b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 </w:t>
      </w:r>
      <w:r>
        <w:rPr>
          <w:rFonts w:ascii="Times New Roman"/>
          <w:b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/>
          <w:i w:val="false"/>
          <w:color w:val="000000"/>
          <w:sz w:val="28"/>
        </w:rPr>
        <w:t>=1</w:t>
      </w:r>
      <w:r>
        <w:rPr>
          <w:rFonts w:ascii="Times New Roman"/>
          <w:b w:val="false"/>
          <w:i w:val="false"/>
          <w:color w:val="000000"/>
          <w:sz w:val="28"/>
        </w:rPr>
        <w:t xml:space="preserve">, если </w:t>
      </w:r>
      <w:r>
        <w:rPr>
          <w:rFonts w:ascii="Times New Roman"/>
          <w:b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/>
          <w:i w:val="false"/>
          <w:color w:val="000000"/>
          <w:sz w:val="28"/>
        </w:rPr>
        <w:t xml:space="preserve"> &lt; 0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 </w:t>
      </w:r>
      <w:r>
        <w:rPr>
          <w:rFonts w:ascii="Times New Roman"/>
          <w:b/>
          <w:i w:val="false"/>
          <w:color w:val="000000"/>
          <w:sz w:val="28"/>
        </w:rPr>
        <w:t>hj=0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коэффициента достижения целей стратегического плана/ Программы развития территории учитывается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индикатор, не имеющий планового значения на отчетный период, в расчет коэффициента достижения цели не принимается;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оперативные данные. При невозможности представления оперативных данных, целевой индикатор в расчет коэффициента достижения цели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реализации задач (</w:t>
      </w:r>
      <w:r>
        <w:rPr>
          <w:rFonts w:ascii="Times New Roman"/>
          <w:b/>
          <w:i w:val="false"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), запланированных в реализацию соответствующей цели стратегического плана/Программы развития территории, определяется путем анализа достижения каждого показателя прямого результата, предусмотренного во исполнение соответствующей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степени реализации задач стратегического плана/Программы развития территории, запланированных в реализацию соответствующей цели осуществляется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реализации задач стратегического плана/Программы развития территории, запланированных в реализацию соответствующей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- коэффициент реализации каждой задачи стратегического плана/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> - общее количество задач стратегического плана/Программы развития территории, запланированных в реализацию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расчет коэффициента реализации каждой задачи стратегического плана/Программы развития территории (</w:t>
      </w:r>
      <w:r>
        <w:rPr>
          <w:rFonts w:ascii="Times New Roman"/>
          <w:b w:val="false"/>
          <w:i/>
          <w:color w:val="000000"/>
          <w:sz w:val="28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716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реализации каждого показателя прямого результата, предусмотренного в реализацию соответствующей задачи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показателей прямых результатов, предусмотренных в реализацию соответствующей задачи стратегического плана/Программы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достижения каждого показателя прямого результата стратегического плана/Программы развития территории, предусмотренного в реализацию соответствующей задачи стратегического плана/Программы развития территории (p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), осуществляется путем соотношения фактического исполнения (улучшения либо ухудшения) к запланированному.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если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1, то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= 1, если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0, то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коэффициента реализации задач стратегического плана/Программы развития территории учитывается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прямого результата, не имеющий планового значения на отчетный период, в расчет коэффициента реализации задачи не принимается;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оперативные данные. При невозможности представления оперативных данных, показатель прямого результата в расчет коэффициента реализации задач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Критерий «Коэффициент результативности местных исполнительных органов» определяется путем вычисления средней геометрической из индексов следующих шести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безработицы;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самозанятых в составе занятого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граждан, нуждающихся в обеспечении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выброcы в атмосферу загрязняющих веществ, отходящих от стационарных источников, на душу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реальных денежных доходов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валовый региональный продукт на душу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Расчет коэффициента результативности местных исполнительных органов производится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257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результативности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–го показателя, i = 1 …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по каждому показателю (S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путем соотношения показателя за отчетный период к предыдущему году следующим образом: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индекс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per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фактическое значение i-го показателя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perscript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значение i-го показателя за предыдущий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этом если 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&gt;1, то в расчет принимается 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улучшение i–го показателя за отчетный период обусловлено отрицательной динамикой изменения его значения, то применяется формула: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7620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 результативности местных исполнительных органов рассчитывается на основе статистических и ведомственных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результативности местных исполнительных органов осуществляется по форме согласно приложению 4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 о результатах оценки эффективности</w:t>
      </w:r>
      <w:r>
        <w:br/>
      </w:r>
      <w:r>
        <w:rPr>
          <w:rFonts w:ascii="Times New Roman"/>
          <w:b/>
          <w:i w:val="false"/>
          <w:color w:val="000000"/>
        </w:rPr>
        <w:t>
достижения и реализации стратегических целей и задач</w:t>
      </w:r>
      <w:r>
        <w:br/>
      </w:r>
      <w:r>
        <w:rPr>
          <w:rFonts w:ascii="Times New Roman"/>
          <w:b/>
          <w:i w:val="false"/>
          <w:color w:val="000000"/>
        </w:rPr>
        <w:t>
в курируемых отрасли/сфере/регионе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Заключение о результатах оценки эффективности деятельности центрального государственного и местного исполнительного органа по достижению и реализации стратегических целей и задач в курируемых отрасли/сфере/регионе (далее – Заключение) составляется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составляется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«Баллы» указываются баллы в разрезе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«Коэффициент» указываются коэффициенты в разрезе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«Вычет баллов» указываются вычтенные баллы в соответствии с разделом 9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«Общая оценка» указывается общий балл, рассчитанный по формуле согласно пункту 16, 17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«Аналитический отчет и выводы по оценке деятельности центрального государственного органа/местного исполнительного органа» приводится подробный анализ результатов достижения и реализации запланированных целей и задач центрального государственного органа или местного исполнительного органа,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качества и полноты анализа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достижения целей и задач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государственного органа/региона;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вычете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данном разделе отражаются соответствующие выводы в зависимости от результатов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«Рекомендации по улучшению деятельности центрального государственного органа/местного исполнительного органа» подробно описываются рекомендации по дальнейшему улучшению деятельности государственного органа, а также иные имеющиеся рекомендации.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Процедура обжалования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С момента получения Заключения оцениваемый государственный орган в случае несогласия с результатами оценки вправе в течение пяти рабочих дней направить в уполномоченный на оценку государственный орган свои возражения.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Обжалование результатов оценки должны быть аргументированным и обоснованным с представлением подтверждающих документов. Возражения без подтверждающих документов и обоснования, а также противоречащие положениям нормативных правовых актов в сфере государственного планирования и правил разработки стратегических планов/Программы развития территории не рассматриваются.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отсутствия возражений к результатам оценки оцениваемый государственный орган в течение пяти рабочих дней предоставляет в уполномоченный на оценку государственный орган соответствующее уведомление. По истечении установленного срока возражения оцениваемых государственных органов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Для проведения процедуры обжалования в уполномоченном на оценку государственном органе формируется Специальная комиссия, в состав которой не могут входить сотрудники, участвовавшие в оценке государственных органов, представивших возражения.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и состав Специальной комиссии определяются уполномоченным на оценку государственным органом самостоятельно, но не менее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течение пяти рабочих дней со дня получения возражений от оцениваемых государственных органов с подтверждающими документами, уполномоченным на оценку государственным органом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(далее - Таблица разногласий) по форме согласно приложению 6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подавших возражения, представители заинтересованных отраслевых центральных государственных органов, а также сотрудники, участвовавшие в оценке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 течение пятнадцати календарных дней со дня получения возражений от оцениваемых государственных органов уполномоченный на оценку государственный орган направляет в рабочий орган Экспертной комиссии и оцениваемые государственные органы итоговые заключения.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проведения оценки реорганизованных</w:t>
      </w:r>
      <w:r>
        <w:br/>
      </w:r>
      <w:r>
        <w:rPr>
          <w:rFonts w:ascii="Times New Roman"/>
          <w:b/>
          <w:i w:val="false"/>
          <w:color w:val="000000"/>
        </w:rPr>
        <w:t>
и упраздненных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органа-правопреемника в соответствии с данной методикой.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 случае реорганизации или упразднения государственного органа во втором полугодии оцениваемого года оценка его деятельности не осуществляется, а результаты анализа деятельности данного государственного органа учитываются при разработке рекомендаций и предложений, данных по итогам оценки государственному органу - правопреемнику.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Процедура определения своевременности, полноты и</w:t>
      </w:r>
      <w:r>
        <w:br/>
      </w:r>
      <w:r>
        <w:rPr>
          <w:rFonts w:ascii="Times New Roman"/>
          <w:b/>
          <w:i w:val="false"/>
          <w:color w:val="000000"/>
        </w:rPr>
        <w:t>
достоверности отчетной информации оцениваемых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Оцениваемый государственный орган своевременно предоставляет уполномоченному на оценку государственному органу полную и достоверную отчетную информацию в соответствии с Графиком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 случае представления несвоевременной, неполной или недостоверной отчетной информации, из итоговой оценки государственного органа по данному направлению вычитаются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Несвоевременной признается отчетная информация, представленная в уполномоченный на оценку государственный орган позже срока, предусмотренного Графиком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несвоевременной отчетной информации производится вычитание 1,5 (полтора) штрафных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Неполной признается отчетная информация, в которой отсутствуют элементы (приложения, разделы, таблицы, значения показателей и др.), предусмотренные установленными требованиями к структуре отчетной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неполной отчетной информации производится вычитание 2 (двух)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Недостоверной признается отчетная информация, в ходе перепроверки которой выявлены несоответствующие действительности факты.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факты фиксируются в Акте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недостоверной отчетной информации производится вычитание 0,2 штрафных балла за каждый зафиксированный факт. Сумма вычитаемых за представление недостоверной информации штрафных баллов не должна превышать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Информация о вычетах отражается в Заключении в разделе «Аналитический отчет и выводы по оценке деятельности центрального государственного органа/местного исполнительного органа».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стратегических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</w:t>
      </w:r>
      <w:r>
        <w:br/>
      </w:r>
      <w:r>
        <w:rPr>
          <w:rFonts w:ascii="Times New Roman"/>
          <w:b/>
          <w:i w:val="false"/>
          <w:color w:val="000000"/>
        </w:rPr>
        <w:t>
по итогам перепроверки данных, содержащихся в</w:t>
      </w:r>
      <w:r>
        <w:br/>
      </w:r>
      <w:r>
        <w:rPr>
          <w:rFonts w:ascii="Times New Roman"/>
          <w:b/>
          <w:i w:val="false"/>
          <w:color w:val="000000"/>
        </w:rPr>
        <w:t>
отчетной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центрального государственного органа/местного исполнительного органа)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233"/>
        <w:gridCol w:w="3195"/>
      </w:tblGrid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Вычитаемые баллы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отчетной информации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неполной информации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недостоверной информации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Согласно Графику оценки срок представления государственным органом отчетной информации: «____» ____________ 201___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Фактическая дата представления отчетной информации: «____» _______ 201___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Представлена неполная информация, в том числе отсутствуют следующие элементы (приложения, разделы, таблицы, значения показателей и др.), предусмотренные установленными требованиями к структуре отчетной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Представлена недостоверная информация. В ходе перепроверки выявлены следующие несоответствия действительности фактов: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3"/>
        <w:gridCol w:w="1638"/>
        <w:gridCol w:w="1638"/>
        <w:gridCol w:w="2408"/>
        <w:gridCol w:w="1242"/>
        <w:gridCol w:w="1868"/>
      </w:tblGrid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целевого индикатора/показателя прямого результата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отчетного периода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отчетного периода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отчетного периода по итогам перепроверки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 баллов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1905"/>
        <w:gridCol w:w="2315"/>
        <w:gridCol w:w="3540"/>
        <w:gridCol w:w="27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 составляет: ______ балла.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вычет: ______ балла.</w:t>
            </w:r>
          </w:p>
        </w:tc>
      </w:tr>
      <w:tr>
        <w:trPr>
          <w:trHeight w:val="69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уполномоченного органа, должность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 оцениваемого госоргана, должность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 деятельности центральных государственных органов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2378"/>
        <w:gridCol w:w="3567"/>
        <w:gridCol w:w="2577"/>
      </w:tblGrid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сферы/направления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планирование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бюджета и государственные закупки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 республиканской государственной собственностью и проведение государственного мониторинга собственности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7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гарантированное государством заимствование, управление правительственным и гарантированным государством долгом и долгом перед государством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проведением процедур банкротства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учет, финансовая отчетность и аудиторская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мониторинг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статистической методологии и статистического инструментария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 потребности общества, государства и международного сообщества в официальной статистической информации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Межотраслевая координация государственной статистической деятельности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Труд, в том числе безопасность и охрана труда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обеспечение, в том числе пенсионное обеспечение и обязательное социальное страхование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поддержка, в том числе социальная помощь, оказание специальных социальных услуг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78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 путем участия в разработке и реализации общегосударственной стратегии развития, ведения законопроектной работы, анализа, совершенствования, систематизации законодательства, проведения юридической экспертизы проектов нормативных правовых актов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0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Казахстана на международной арене в целях защиты его национальных интересов и укрепления авторитета Республики в мировом сообществе, в том числе путем подготовки и заключения международных договоров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54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государственной регистрации юридических лиц, прав на недвижимое имущество и сделок с ним, залогов отдельных видов движимого имущества, нормативных правовых актов центральных государственных органов, местных представительных и исполнительных органов, актов гражданского состояния, а также осуществление государственного учета нормативных правовых актов Республики Казахстан и контроля за ними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правовой помощи и оказания юридических услуг и обеспечение правовой пропаганды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судебно-экспертной деятельности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государственной политики в области защиты прав интеллектуальной собственности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производства по делам об административных правонарушениях в соответствии с законодательством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системы Гражданской обороны и материального резерва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Предупреждение, ликвидация чрезвычайных ситуаций техногенного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Предупреждение, ликвидация чрезвычайных ситуаций природного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9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внешнеполитического курса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внешнеполитического курса Республики Казахстан, содействие осуществлению внешнеэкономической политики и укреплению международного авторитета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 отношениях с другими государствами и на международной арене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дипломатических и консульских отношений Республики Казахстан с иностранными государствами, международными организациями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дипломатическими средствами и методами усилий Республики Казахстан по обеспечению международного мира, глобальной и региональной безопасности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 и интересов Республики Казахстан, ее граждан и юридических лиц за рубежом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планирование и формирование основных приоритетов социально-экономического развития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Налоговая, таможенная и бюджетная политики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 гарантированные государством заимствование и долг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инвестиционная политика и развитие государственно-частного партнерства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развитие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конкуренции и ограничение монополистической деятельности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монополии и регулируемые рынки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экономические и финансовые отношения, в том числе регулирование международной экономической интеграции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 развитие внешнеторговой деятельности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 развитие внутренней торговли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поддержка частного предпринимательства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государственными активами, в том числе повышение качества корпоративного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государственного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автодорожной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железнодорожной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гражданской авиации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водного транспорта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автомобильного транспорта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транспорта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и «электронное правительство»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6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Низкоуглеродное развитие и формирования принципов «зеленой» экономики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регулирование и контроль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Гидрометеорологическая деятельность и экологический мониторинг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воспитание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целевых космических систем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наземной космической инфраструктуры, включающей комплекс «Байконур»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космических исследований и развитие технологий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космической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2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отраслей агропромышленного комплекса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переработка продуктов АПК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АПК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обеспечение и подготовка кадров АПК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7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Сохранение, рациональное использование и воспроизводство рыбных, лесных ресурсов, ресурсов животного мира, особо охраняемых природных территорий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Сохранение, охрана, воспроизводство и устойчивое использование видового разнообразия животного мира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 охрана водного фонда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проведение денежно-кредитной политики государства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платежных систем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валютного регулирования и валютного контроля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5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обеспечению стабильности финансовой системы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5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Регулирование, контроль и надзор финансового рынка и финансовых организаций, а также иных лиц в пределах компетенции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0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Банковская система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Накопительная пенсионная система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ценных бумаг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 страховая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надлежащего уровня защиты прав и законных интересов потребителей финансовых услуг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 и градостроительная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(электросетевые объекты 0,4 кВ)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водоотведение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 (кроме ТЭЦ и котельных с установленной мощностью 100 Гкал/час и более)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коммунальными отходами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жилищного хозяйства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 научно-техническая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 детей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политика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</w:tr>
      <w:tr>
        <w:trPr>
          <w:trHeight w:val="4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сферы естественных монополий и ценообразования на регулируемых рынках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4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регулирование деятельности субъектов естественных монополий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4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и контроль за ценообразованием субъектами регулируемого рынка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недискриминационного доступа к регулируемым услугам (товарам, работам)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6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 потребителей в сфере осуществления деятельности субъектов естественных монополий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конкуренции в сферах (отраслях) государственного управления, находящихся в ведении Агентства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конкуренции</w:t>
            </w:r>
          </w:p>
        </w:tc>
      </w:tr>
      <w:tr>
        <w:trPr>
          <w:trHeight w:val="60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руководства в области защиты конкуренции и ограничения монополистической деятельности на соответствующих товарных рынках, а также защиты прав потребителей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добросовестной конкуренции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6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Предупреждение, выявление и расследование, пресечение правонарушений антимонопольного законодательства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экономической концентрацией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Демонополизация субъектов рынка, ограничивающих конкуренцию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 потребителей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 и научно-техническое развитие страны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инвестиций и функционирование специальных экономических зон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благоприятного инвестиционного климата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инвестиций в несырьевой сектор экономики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 мониторинг инвестиционных проектов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специальных экономических зон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Горно-металлургический комплекс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Машиностроительная отрасль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Стройиндустрия и производство строительных материалов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промышленность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и медицинская промышленность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Легкая, мебельная и деревообрабатывающая промышленность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Угольная промышленность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сервиса в туристской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в туристской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туристов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Возобновляемые источники энергии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Энергосбережение и энергоэффективность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 и метрология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недропользование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Геологическое изучение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минерально-сырьевой базы, рациональное и комплексное использование недр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минеральных ресурсов, за исключением углеводородного сырья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полезные ископаемые, подземные воды и лечебные грязи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 и оборудования и химической продукции (в соответствии с отраслевой направленностью)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местного (казахстанского) содержания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Экспортный контроль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единой государственной политики в сфере государственной службы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государственной службы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9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состояния кадров государственной службы и контроль за соблюдением законодательства в сфере государственной службы государственными органами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государственных органов по вопросам подготовки, переподготовки и повышения квалификации государственных служащих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управления персоналом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оценка качества оказания государственных услуг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1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нефтяной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газовой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Нефтехимическая промышленность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углеводородного сырья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контроль за выполнением недропользователями условий контрактов по углеводородному сырью и по соглашениям о разделе продукции, включая обязательства по казахстанскому содержанию в закупках товаров, работ и услуг и казахстанскому содержанию в кадрах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</w:tr>
      <w:tr>
        <w:trPr>
          <w:trHeight w:val="36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в области управления земельными ресурсами, в том числе обеспечение рационального использования и охраны земель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Геодезическая и картографическая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культуры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использование объектов историко-культурного наследия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внутриполитической стабильности межэтнического согласия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использование государственных символов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8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Архивное дело и документация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социальный заказ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6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всех видов качественной медицинской помощи населению путем обеспечения эффективной деятельности субъектов здравоохранения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всех видов качественной медицинской помощи населению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медицинских услуг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 благополучия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4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доступности и качества лекарственных средств для населения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образование и наука, кадровая политика в области здравоохранения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отрасли квалифицированными кадрами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медицинской науки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фармацевтической науки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в сфере религиозной деятельности и взаимодействие с религиозными объединениями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Информационно-пропагандистская и разъяснительная работа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правоохранительными органами, и в пределах своей компетенции осуществление координации деятельности местных исполнительных органов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сфер деятельности местных исполнительных органов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в рамках Программы развития территории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15"/>
        <w:gridCol w:w="8661"/>
        <w:gridCol w:w="1851"/>
      </w:tblGrid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сферы/направления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Агропромышленный комплекс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и средний бизнес, торговля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 и инвестиции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сфера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и социальная защита населения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развитие языков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спорт, туризм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политика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безопасность и правопорядок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и коммуникация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и транспорт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сельских территорий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коэффициента результативности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289"/>
        <w:gridCol w:w="1085"/>
        <w:gridCol w:w="2262"/>
        <w:gridCol w:w="1674"/>
        <w:gridCol w:w="2075"/>
      </w:tblGrid>
      <w:tr>
        <w:trPr>
          <w:trHeight w:val="76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показателей </w:t>
            </w:r>
          </w:p>
        </w:tc>
      </w:tr>
      <w:tr>
        <w:trPr>
          <w:trHeight w:val="3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самозанятых в составе занятого населения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граждан, нуждающихся в обеспечении жильем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Выброcы в атмосферу загрязняющих веществ, отходящих от стационарных источников, на душу населения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на душу нас.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реальных денежных доходов населения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региональный продукт на душу населения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эффективности достижения</w:t>
      </w:r>
      <w:r>
        <w:br/>
      </w:r>
      <w:r>
        <w:rPr>
          <w:rFonts w:ascii="Times New Roman"/>
          <w:b/>
          <w:i w:val="false"/>
          <w:color w:val="000000"/>
        </w:rPr>
        <w:t>
и реализации стратегических целей и задач в курируемых</w:t>
      </w:r>
      <w:r>
        <w:br/>
      </w:r>
      <w:r>
        <w:rPr>
          <w:rFonts w:ascii="Times New Roman"/>
          <w:b/>
          <w:i w:val="false"/>
          <w:color w:val="000000"/>
        </w:rPr>
        <w:t>
отрасли/сфере/регионе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центрального государственного органа/местного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(отчетный период)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833"/>
        <w:gridCol w:w="2533"/>
        <w:gridCol w:w="1593"/>
      </w:tblGrid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полнота анализа стратегического плана/Программы развития территории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целей и задач стратегического плана/ Программы развития территории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результативности местных исполнительных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 баллов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Аналитический отчет и выводы по оценке деятельности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органа/местного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Рекомендации по улучшению деятельности центрального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органа/местного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7"/>
        <w:gridCol w:w="6623"/>
      </w:tblGrid>
      <w:tr>
        <w:trPr>
          <w:trHeight w:val="6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органа/ структурного подразделения Администрации Президента/Канцелярии Премьер-Министра Республики Казахстан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  (расшифровка подписи) </w:t>
            </w:r>
          </w:p>
        </w:tc>
      </w:tr>
      <w:tr>
        <w:trPr>
          <w:trHeight w:val="174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 структурного подразделения государственного органа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(расшифровка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«____»______________20___г.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целей и задач в курируемых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разногласий по результатам оценки эффективности</w:t>
      </w:r>
      <w:r>
        <w:br/>
      </w:r>
      <w:r>
        <w:rPr>
          <w:rFonts w:ascii="Times New Roman"/>
          <w:b/>
          <w:i w:val="false"/>
          <w:color w:val="000000"/>
        </w:rPr>
        <w:t>
деятельности государственных органов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
по направлению «Достижение и реализация стратегических целей и</w:t>
      </w:r>
      <w:r>
        <w:br/>
      </w:r>
      <w:r>
        <w:rPr>
          <w:rFonts w:ascii="Times New Roman"/>
          <w:b/>
          <w:i w:val="false"/>
          <w:color w:val="000000"/>
        </w:rPr>
        <w:t>
задач в курируемых отрасли/сфере/регионе»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743"/>
        <w:gridCol w:w="2967"/>
        <w:gridCol w:w="3258"/>
        <w:gridCol w:w="3685"/>
      </w:tblGrid>
      <w:tr>
        <w:trPr>
          <w:trHeight w:val="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уполномоченного органа по государственному планированию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Возражение оцениваемого государственного органа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 итогам обжалования (принято/отклонено)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(обоснование принятия/отклонения возражения)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Выводы: по критерию 1:_____________________________________________;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 критерию 2: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Общий балл с учетом итогов обжалования составил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комиссии, должность __________ 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(дата)  (подпись) (расшифровка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итогами обжалования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оцениваемого госоргана,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 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(дата)       (подпись)        (расшифровка 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