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09fc" w14:textId="8ab0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28 июня 2005 года № 3-1-457п "Об утверждении Правил предоставления в имущественный найм(аренду) государственного коммунального имущества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4 апреля 2012 года № 113-368. Зарегистрировано Департаментом юстиции города Астаны 11 апреля 2012 года № 718. Утратило силу постановлением акимата города Астаны от 27 февраля 2014 года № 113-318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27.02.2014 </w:t>
      </w:r>
      <w:r>
        <w:rPr>
          <w:rFonts w:ascii="Times New Roman"/>
          <w:b w:val="false"/>
          <w:i w:val="false"/>
          <w:color w:val="ff0000"/>
          <w:sz w:val="28"/>
        </w:rPr>
        <w:t>№ 113-318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27 декабря 1994 года, законами Республики Казахстан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от 21 июля 2007 года «</w:t>
      </w:r>
      <w:r>
        <w:rPr>
          <w:rFonts w:ascii="Times New Roman"/>
          <w:b w:val="false"/>
          <w:i w:val="false"/>
          <w:color w:val="000000"/>
          <w:sz w:val="28"/>
        </w:rPr>
        <w:t>О статусе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столицы Республики Казахстан», от 1 марта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28 июня 2005 года № 3-1-457п "Об утверждении Правил предоставления в имущественный наем (аренду) государственного коммунального имущества города Астаны" (зарегистрировано в Реестре государственной регистрации нормативных правовых актов от 1 августа 2005 года № 404, от 18 июля 2011 года № 686), опубликовано в газетах «Астана хабары» от 16 августа 2005 года № 112; «Вечерняя Астана» от 11 августа 2005 года № 122; «Вечерняя Астана» 28 июля 2011 года № 89 (2699),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имущественный наем (аренду) государственного коммунального имущества города Астаны,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 </w:t>
      </w:r>
      <w:r>
        <w:rPr>
          <w:rFonts w:ascii="Times New Roman"/>
          <w:b w:val="false"/>
          <w:i w:val="false"/>
          <w:color w:val="000000"/>
          <w:sz w:val="28"/>
        </w:rPr>
        <w:t>пункта 18-2</w:t>
      </w:r>
      <w:r>
        <w:rPr>
          <w:rFonts w:ascii="Times New Roman"/>
          <w:b w:val="false"/>
          <w:i w:val="false"/>
          <w:color w:val="000000"/>
          <w:sz w:val="28"/>
        </w:rPr>
        <w:t>) параграфа 4-1) слова «Сумма гарантийного взноса по заявлению победителя тендера может быть частично возвращена»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финансов города Астаны» произвести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Кожагапанова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