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0463" w14:textId="1750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23 января 2012 года № А-1/54. Зарегистрировано Управлением юстиции Жаркаинского района Акмолинской области 23 февраля 2012 года № 1-12-161. Утратило силу постановлением акимата Жаркаинского района Акмолинской области от 17 января 2013 года № А-1/5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Жаркаинского района Акмолинской области от 17.01.2013 № А-1/5.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платы за пользование жилищем из государственного жилищного фонда,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государственного жилищного фонда,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Шакирова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Жаркаинского района                         А.Калжанов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Жаркаинского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А-1/54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</w:t>
      </w:r>
      <w:r>
        <w:br/>
      </w:r>
      <w:r>
        <w:rPr>
          <w:rFonts w:ascii="Times New Roman"/>
          <w:b/>
          <w:i w:val="false"/>
          <w:color w:val="000000"/>
        </w:rPr>
        <w:t>
из государственного жилищного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6101"/>
        <w:gridCol w:w="4672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 жилищного фонда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платы за пользование жилищем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город Державинск, микрорайон Молодежный, дом № 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73,75 тенге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город Державинск, микрорайон Молодежный, дом № 2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84,47 тенге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город Державинск, улица Юбилейная, дом № 17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77,96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