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b6c4" w14:textId="5e4b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в соответствии с потребностью рынка труда Каргалинского района будут организованы места для прохождения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17 февраля 2012 года № 31. Зарегистрировано Департаментом юстициии Актюбинской области 5 марта 2012 года № 3-6-136. Утратило силу постановлением акимата Каргалинского района Актюбинской области от 11 июня 2012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Каргалинского района Актюбинской области от 11.06.2012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 где в соответствии с потребностью рынка труда Каргалинского района будут организованы места для прохождения Молодежной практики финансируемых за счет средств местного и республиканского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«Каргалинский районный отдел финансов» (Ш.Касимова) в соответствии с утвержденным планом финансирования обеспечить финансирование заработной платы с учетом налогов и социальных отчислений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сумме 26000 тенге ежемесячно в течение 6 месяцев участникам Молодежной практики, направленным через ГУ «Районный отдел занятости и социальных программ», участникам Программы занятости 2020, направленным на Молодежную практику через ГУ «Центр занятости Каргалинского района», за счет средств местного и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«Районный отдел занятости и социальных программ» (У.Берденова) и ГУ «Центр занятости Каргалинского района» (Н.Нагимова), на основании сведений, представленных работодателем, производить перечисление заработной платы на расчетные счета участников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Тынымгереева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А. Сагиев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рынка</w:t>
      </w:r>
      <w:r>
        <w:br/>
      </w:r>
      <w:r>
        <w:rPr>
          <w:rFonts w:ascii="Times New Roman"/>
          <w:b/>
          <w:i w:val="false"/>
          <w:color w:val="000000"/>
        </w:rPr>
        <w:t>
труда Каргалинского района будут организованы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911"/>
        <w:gridCol w:w="2396"/>
        <w:gridCol w:w="1559"/>
        <w:gridCol w:w="1559"/>
        <w:gridCol w:w="3170"/>
      </w:tblGrid>
      <w:tr>
        <w:trPr>
          <w:trHeight w:val="45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работ (месяцев)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градостройтель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зоотехник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 механик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«Алимбетовская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Алимбет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химии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«Бадамшинский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12»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Бадамша»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Степной»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ству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Акционерные общества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«Казахтелеком»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кабельщик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спайщик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927"/>
        <w:gridCol w:w="2413"/>
        <w:gridCol w:w="1556"/>
        <w:gridCol w:w="1535"/>
        <w:gridCol w:w="3187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«Жосалы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«Табигат+»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овощевод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Крестьянские хозяйства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«Куагаш»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«Нур»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Кемпирсай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«Бородиновское»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«Земледелец»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Бозтобе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«Бастюба»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Бозтобе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«Ансар»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«Кристина»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«Ануар»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Кайракты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«Хоснитдин»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Бугумбай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Индивидуальные предприниматели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Шаметов Е.Е.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Какочашвили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З.Г.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Жардаев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Айтпаева С.А.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Искакова М.Х.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Коновалова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О.И.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Мельник Я.Д.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Тлеукулова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Антманис Р.И.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Кос-Истек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Тулегенова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Л.А.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Прочие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«Каргалинская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«Бадамша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жилотехник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