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fdb3" w14:textId="020f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 при их предоставлении в частную собственность в областном центре, городах областного и районного значения, поселках и сельских населенных пунктах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03 мая 2012 года N 4-23 и постановление акимата Алматинской области от 3 мая 2012 года N 114. Зарегистрировано Департаментом юстиции Алматинской области 21 мая 2012 года за N 2092. Утратило силу решением Алматинского областно маслихата от 31 июля 2019 года № 51-259 и постановлением акимата Алматинской области от 6 августа 2019 года №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Алматинского областно маслихата от 31.07.2019 </w:t>
      </w:r>
      <w:r>
        <w:rPr>
          <w:rFonts w:ascii="Times New Roman"/>
          <w:b w:val="false"/>
          <w:i w:val="false"/>
          <w:color w:val="ff0000"/>
          <w:sz w:val="28"/>
        </w:rPr>
        <w:t>№ 51-259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акимата Алматинской области от 06.08.2019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базовые ставки платы за земельные участки при их предоставлении в частную собственность в областном центре, городах областного и районного значения, поселках и сельских населенных пунктах Алматинской области в зависимости от местных условий и особенностей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Алматинской области и решения Алматинского областного маслихата возложить на курирующего заместителя акима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Алматинской области и решение Алматинского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Мусаханов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Мамбеталиев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Бескемпиров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от 03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N 4-23 и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мая 2012 года N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установлении базовых ставок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земельные участки 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в частную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областном центре,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Алматинской области"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</w:t>
      </w:r>
      <w:r>
        <w:br/>
      </w:r>
      <w:r>
        <w:rPr>
          <w:rFonts w:ascii="Times New Roman"/>
          <w:b/>
          <w:i w:val="false"/>
          <w:color w:val="000000"/>
        </w:rPr>
        <w:t>платы за земельные участки при их предоставлении в частную</w:t>
      </w:r>
      <w:r>
        <w:br/>
      </w:r>
      <w:r>
        <w:rPr>
          <w:rFonts w:ascii="Times New Roman"/>
          <w:b/>
          <w:i w:val="false"/>
          <w:color w:val="000000"/>
        </w:rPr>
        <w:t>собственность в областном центре, городах областного и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значения, поселках и сельских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Алматинской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6"/>
        <w:gridCol w:w="4182"/>
        <w:gridCol w:w="4182"/>
      </w:tblGrid>
      <w:tr>
        <w:trPr>
          <w:trHeight w:val="30" w:hRule="atLeast"/>
        </w:trPr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квадратный метр</w:t>
            </w:r>
          </w:p>
        </w:tc>
      </w:tr>
      <w:tr>
        <w:trPr>
          <w:trHeight w:val="30" w:hRule="atLeast"/>
        </w:trPr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(областной центр)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от 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центра</w:t>
            </w:r>
          </w:p>
        </w:tc>
      </w:tr>
      <w:tr>
        <w:trPr>
          <w:trHeight w:val="30" w:hRule="atLeast"/>
        </w:trPr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 и сельские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расположенные в зонах: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предгорно-пустынно-степной,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субтропической пустынной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предгорно-пустынной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Примечание: базовые ставки платы за земельные участки в городах применяются в пределах границ, определенных их генеральными планами.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