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2410" w14:textId="5ba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декабря 2012 года № 12-8. Зарегистрировано Департаментом юстиции Жамбылской области от 11 января 2013 года № 1877. Утратило силу решением маслихата Байзакского района Жамбылской области от 18 февраля 2014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Байзакского района Жамбылской области от 18.02.2014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заголовок и текст на государственном языке, заголовок на русском языке не изменяется в соответствии с решением Байзакского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  календарных дней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Байзакского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Рапилбеков                              Н. Укибаев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Байзакского района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малообеспеченным семьям (гражданам) Байзакского района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202020"/>
          <w:sz w:val="28"/>
        </w:rPr>
        <w:t xml:space="preserve"> статьи 97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газоснабжение, электроснабжение, теплоснабжение;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– коммунальное государственное учреждение «Отдел занятости и социальных программ акимата Байзакского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Байзакском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Байзакском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2.Размер и порядок оказания жилищной помощи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7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