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887b" w14:textId="5cb8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14 декабря 2012 года N 11/90. Зарегистрировано Департаментом юстиции Карагандинской области 29 декабря 2012 года N 2086. Утратило силу в связи с истечением срока применения (письмо Балхашского городского маслихата Карагандинской области от 23 января 2014 года № 23/1-23)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Балхашского городского маслихата Карагандинской области от 23.01.2014 № 23/1-23).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4 695 080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2 889 041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31 235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86 819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1 687 985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5 206 765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25 555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28 413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2 858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537 240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537 240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84 240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Балхашского городского маслихата Карагандинской области от 30.01.2013 </w:t>
      </w:r>
      <w:r>
        <w:rPr>
          <w:rFonts w:ascii="Times New Roman"/>
          <w:b w:val="false"/>
          <w:i w:val="false"/>
          <w:color w:val="000000"/>
          <w:sz w:val="28"/>
        </w:rPr>
        <w:t>N 12/105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27.03.2013 </w:t>
      </w:r>
      <w:r>
        <w:rPr>
          <w:rFonts w:ascii="Times New Roman"/>
          <w:b w:val="false"/>
          <w:i w:val="false"/>
          <w:color w:val="000000"/>
          <w:sz w:val="28"/>
        </w:rPr>
        <w:t>N 13/110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15.05.2013 </w:t>
      </w:r>
      <w:r>
        <w:rPr>
          <w:rFonts w:ascii="Times New Roman"/>
          <w:b w:val="false"/>
          <w:i w:val="false"/>
          <w:color w:val="000000"/>
          <w:sz w:val="28"/>
        </w:rPr>
        <w:t>N 15/131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05.07.2013 </w:t>
      </w:r>
      <w:r>
        <w:rPr>
          <w:rFonts w:ascii="Times New Roman"/>
          <w:b w:val="false"/>
          <w:i w:val="false"/>
          <w:color w:val="000000"/>
          <w:sz w:val="28"/>
        </w:rPr>
        <w:t>N 18/149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14.08.2013 </w:t>
      </w:r>
      <w:r>
        <w:rPr>
          <w:rFonts w:ascii="Times New Roman"/>
          <w:b w:val="false"/>
          <w:i w:val="false"/>
          <w:color w:val="000000"/>
          <w:sz w:val="28"/>
        </w:rPr>
        <w:t>N 19/155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30.09.2013 </w:t>
      </w:r>
      <w:r>
        <w:rPr>
          <w:rFonts w:ascii="Times New Roman"/>
          <w:b w:val="false"/>
          <w:i w:val="false"/>
          <w:color w:val="000000"/>
          <w:sz w:val="28"/>
        </w:rPr>
        <w:t>N 20/161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15.11.2013 </w:t>
      </w:r>
      <w:r>
        <w:rPr>
          <w:rFonts w:ascii="Times New Roman"/>
          <w:b w:val="false"/>
          <w:i w:val="false"/>
          <w:color w:val="000000"/>
          <w:sz w:val="28"/>
        </w:rPr>
        <w:t>N 21/165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05.12.2013 </w:t>
      </w:r>
      <w:r>
        <w:rPr>
          <w:rFonts w:ascii="Times New Roman"/>
          <w:b w:val="false"/>
          <w:i w:val="false"/>
          <w:color w:val="000000"/>
          <w:sz w:val="28"/>
        </w:rPr>
        <w:t>N 22/168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13.12.2013 </w:t>
      </w:r>
      <w:r>
        <w:rPr>
          <w:rFonts w:ascii="Times New Roman"/>
          <w:b w:val="false"/>
          <w:i w:val="false"/>
          <w:color w:val="000000"/>
          <w:sz w:val="28"/>
        </w:rPr>
        <w:t>N 23/171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2013 год нормативы распределения доходов в областной бюджет,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индивидуальному подоходному налогу – 50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городского бюджета на 2013 год предусмотрены субвенции из областного бюджета в сумме 1 084 627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поступлений городского бюджета на 2013 год предусмотрены целевые текущие трансферты в сумме 107 424 тысяч тенге на реализацию государственного образовательного заказа в дошкольных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составе поступлений городского бюджета на 2013 год предусмотрены целевые текущие трансферты в сумме 41 964 тысяч тенге на увеличение размера доплаты за квалификационную категорию учителям школ и воспитателям дошкольных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поступлений городского бюджета на 2013 год предусмотрены целевые текущие трансферты в сумме 2 801 тысяч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Балхашского городского маслихата Карагандинской области от 13.12.2013 </w:t>
      </w:r>
      <w:r>
        <w:rPr>
          <w:rFonts w:ascii="Times New Roman"/>
          <w:b w:val="false"/>
          <w:i w:val="false"/>
          <w:color w:val="000000"/>
          <w:sz w:val="28"/>
        </w:rPr>
        <w:t>N 23/171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составе поступлений городского бюджета на 2013 год предусмотрены целевые текущие трансферты в сумме 42 438 тысяч тенге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Балхашского городского маслихата Карагандинской области от 13.12.2013 </w:t>
      </w:r>
      <w:r>
        <w:rPr>
          <w:rFonts w:ascii="Times New Roman"/>
          <w:b w:val="false"/>
          <w:i w:val="false"/>
          <w:color w:val="000000"/>
          <w:sz w:val="28"/>
        </w:rPr>
        <w:t>N 23/171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составе поступлений городского бюджета на 2013 год предусмотрены целевые текущие трансферты в сумме 9 400 тысяч тенге на повышение оплаты труда учителям, прошедшим повышение квалификации по трехуровневой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Балхашского городского маслихата Карагандинской области от 13.12.2013 </w:t>
      </w:r>
      <w:r>
        <w:rPr>
          <w:rFonts w:ascii="Times New Roman"/>
          <w:b w:val="false"/>
          <w:i w:val="false"/>
          <w:color w:val="000000"/>
          <w:sz w:val="28"/>
        </w:rPr>
        <w:t>N 23/171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составе поступлений городского бюджета на 2013 год предусмотрены целевые текущие трансферты в сумме 5 271 тысяч тенге на введение стандартов специальных социальных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Балхашского городского маслихата Карагандинской области от 30.09.2013 </w:t>
      </w:r>
      <w:r>
        <w:rPr>
          <w:rFonts w:ascii="Times New Roman"/>
          <w:b w:val="false"/>
          <w:i w:val="false"/>
          <w:color w:val="000000"/>
          <w:sz w:val="28"/>
        </w:rPr>
        <w:t>N 20/161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Балхашского городского маслихата Карагандинской области от 27.03.2013 </w:t>
      </w:r>
      <w:r>
        <w:rPr>
          <w:rFonts w:ascii="Times New Roman"/>
          <w:b w:val="false"/>
          <w:i w:val="false"/>
          <w:color w:val="000000"/>
          <w:sz w:val="28"/>
        </w:rPr>
        <w:t>N 13/110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составе поступлений городского бюджета на 2013 год предусмотрены целевые текущие трансферты в сумме 5 101 тысяч тенге на проведение противоэпизоотических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составе поступлений городского бюджета на 2013 год предусмотрены целевые текущие трансферты в сумме 3 862 тысяч тенге на субсидирование пассажирских перевозок по социально значимым городским (сельским), пригородным и внутрирайонным сообщениям.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Балхашского городского маслихата Карагандинской области от 27.03.2013 </w:t>
      </w:r>
      <w:r>
        <w:rPr>
          <w:rFonts w:ascii="Times New Roman"/>
          <w:b w:val="false"/>
          <w:i w:val="false"/>
          <w:color w:val="000000"/>
          <w:sz w:val="28"/>
        </w:rPr>
        <w:t>N 13/110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13-1. Учесть, что в составе поступлений городского бюджета на 2013 год предусмотрены целевые текущие трансферты в сумме 2 679 тысяч тенге на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Балхашского городского маслихата Карагандинской области от 05.07.2013 </w:t>
      </w:r>
      <w:r>
        <w:rPr>
          <w:rFonts w:ascii="Times New Roman"/>
          <w:b w:val="false"/>
          <w:i w:val="false"/>
          <w:color w:val="000000"/>
          <w:sz w:val="28"/>
        </w:rPr>
        <w:t>N 18/149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13-2. Учесть, что в составе поступлений городского бюджета на 2013 год предусмотрены целевые текущие трансферты в сумме 103 тысячи тенге на проведение ветеринарных мероприятий по энзоотическим болезням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13-2 в соответствии с решением Балхашского городского маслихата Карагандинской области от 05.12.2013 </w:t>
      </w:r>
      <w:r>
        <w:rPr>
          <w:rFonts w:ascii="Times New Roman"/>
          <w:b w:val="false"/>
          <w:i w:val="false"/>
          <w:color w:val="000000"/>
          <w:sz w:val="28"/>
        </w:rPr>
        <w:t>N 22/168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Учесть, что в составе поступлений городского бюджета на 2013 год предусмотрены целевые трансферты на развитие в сумме 52 558 тысяч тенге на проектирование, строительство и (или) приобретение жилья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Балхашского городского маслихата Карагандинской области от 27.03.2013 </w:t>
      </w:r>
      <w:r>
        <w:rPr>
          <w:rFonts w:ascii="Times New Roman"/>
          <w:b w:val="false"/>
          <w:i w:val="false"/>
          <w:color w:val="000000"/>
          <w:sz w:val="28"/>
        </w:rPr>
        <w:t>N 13/110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Балхашского городского маслихата Карагандинской области от 27.03.2013 </w:t>
      </w:r>
      <w:r>
        <w:rPr>
          <w:rFonts w:ascii="Times New Roman"/>
          <w:b w:val="false"/>
          <w:i w:val="false"/>
          <w:color w:val="000000"/>
          <w:sz w:val="28"/>
        </w:rPr>
        <w:t>N 13/110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16-1. Учесть, что в составе поступлений городского бюджета на 2013 год предусмотрены целевые трансферты на развитие в сумме 329 757 тысяч тенге на реализацию бюджетных инвестиционных проектов в рамках Программы развития моногородов на 2012-2020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16-1 в соответствии с решением Балхашского городского маслихата Карагандинской области от 05.07.2013 </w:t>
      </w:r>
      <w:r>
        <w:rPr>
          <w:rFonts w:ascii="Times New Roman"/>
          <w:b w:val="false"/>
          <w:i w:val="false"/>
          <w:color w:val="000000"/>
          <w:sz w:val="28"/>
        </w:rPr>
        <w:t>N 18/149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с изменениями, внесенными решением Балхашского городского маслихата Карагандинской области от 15.11.2013 </w:t>
      </w:r>
      <w:r>
        <w:rPr>
          <w:rFonts w:ascii="Times New Roman"/>
          <w:b w:val="false"/>
          <w:i w:val="false"/>
          <w:color w:val="000000"/>
          <w:sz w:val="28"/>
        </w:rPr>
        <w:t>N 21/165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Учесть, что в составе поступлений городского бюджета на 2013 год предусмотрены бюджетные кредиты в сумме 453 000 тысяч тенге на проектирование, строительство и (или) приобретение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решением Балхашского городского маслихата Карагандинской области от 05.07.2013 </w:t>
      </w:r>
      <w:r>
        <w:rPr>
          <w:rFonts w:ascii="Times New Roman"/>
          <w:b w:val="false"/>
          <w:i w:val="false"/>
          <w:color w:val="000000"/>
          <w:sz w:val="28"/>
        </w:rPr>
        <w:t>N 18/149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Утвердить резерв акимата города Балхаш на 2013 год в сумме 40 283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Установить, что в составе затрат городского бюджета на 2013 год учтены расходы по бюджетным программам, реализуемым в поселках Конырат, Саяк, Гулшат,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19-1. Установить, что в составе затрат городского бюджета на 2013 год предусмотрен возврат неиспользованных (недоиспользованных) целевых трансфертов, выделенных в 2012 году, в сумме 91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19-1 в соответствии с решением Балхашского городского маслихата Карагандинской области от 27.03.2013 </w:t>
      </w:r>
      <w:r>
        <w:rPr>
          <w:rFonts w:ascii="Times New Roman"/>
          <w:b w:val="false"/>
          <w:i w:val="false"/>
          <w:color w:val="000000"/>
          <w:sz w:val="28"/>
        </w:rPr>
        <w:t>N 13/110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Установить, что в процессе исполнения городского бюджета на 2013 год не подлежат секвестру местные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Утвердить перечень бюджетных программ развития городского бюджета на 2013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Сейсембеков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Рахимберлина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11/90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13.12.2013 N 23/171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418"/>
        <w:gridCol w:w="10837"/>
        <w:gridCol w:w="188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4695080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2881817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930789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930789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666600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666600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1109721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565735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414834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129110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154779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108079</w:t>
            </w:r>
          </w:p>
        </w:tc>
      </w:tr>
      <w:tr>
        <w:trPr>
          <w:trHeight w:val="6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26242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</w:p>
        </w:tc>
      </w:tr>
      <w:tr>
        <w:trPr>
          <w:trHeight w:val="12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19928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19928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38133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</w:p>
        </w:tc>
      </w:tr>
      <w:tr>
        <w:trPr>
          <w:trHeight w:val="6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6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</w:t>
            </w:r>
          </w:p>
        </w:tc>
      </w:tr>
      <w:tr>
        <w:trPr>
          <w:trHeight w:val="9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9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</w:t>
            </w:r>
          </w:p>
        </w:tc>
      </w:tr>
      <w:tr>
        <w:trPr>
          <w:trHeight w:val="6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26783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60340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1687985</w:t>
            </w:r>
          </w:p>
        </w:tc>
      </w:tr>
      <w:tr>
        <w:trPr>
          <w:trHeight w:val="6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1687985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1"/>
        <w:gridCol w:w="723"/>
        <w:gridCol w:w="702"/>
        <w:gridCol w:w="9844"/>
        <w:gridCol w:w="190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5206765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207844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168746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104493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44484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15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</w:t>
            </w:r>
          </w:p>
        </w:tc>
      </w:tr>
      <w:tr>
        <w:trPr>
          <w:trHeight w:val="15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2402488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2092373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2092373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1904895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110585</w:t>
            </w:r>
          </w:p>
        </w:tc>
      </w:tr>
      <w:tr>
        <w:trPr>
          <w:trHeight w:val="9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198829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163569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151409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15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1206419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576784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576784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138452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471188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452555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45256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391770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273487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63888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50911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102351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37436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12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43872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24855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24855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57461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49230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257194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432846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432846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353557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329757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39049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-537240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527"/>
        <w:gridCol w:w="441"/>
        <w:gridCol w:w="10858"/>
        <w:gridCol w:w="189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11/90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50"/>
        <w:gridCol w:w="581"/>
        <w:gridCol w:w="10243"/>
        <w:gridCol w:w="1782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4088445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2580871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954928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954928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637152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637152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741314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582006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31373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127884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223877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183624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</w:tr>
      <w:tr>
        <w:trPr>
          <w:trHeight w:val="12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6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28207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28207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1464009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1464009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712"/>
        <w:gridCol w:w="755"/>
        <w:gridCol w:w="691"/>
        <w:gridCol w:w="9338"/>
        <w:gridCol w:w="17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4088445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175420</w:t>
            </w:r>
          </w:p>
        </w:tc>
      </w:tr>
      <w:tr>
        <w:trPr>
          <w:trHeight w:val="9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148277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84918</w:t>
            </w:r>
          </w:p>
        </w:tc>
      </w:tr>
      <w:tr>
        <w:trPr>
          <w:trHeight w:val="6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84918</w:t>
            </w:r>
          </w:p>
        </w:tc>
      </w:tr>
      <w:tr>
        <w:trPr>
          <w:trHeight w:val="6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44741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44741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</w:t>
            </w:r>
          </w:p>
        </w:tc>
      </w:tr>
      <w:tr>
        <w:trPr>
          <w:trHeight w:val="12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</w:p>
        </w:tc>
      </w:tr>
      <w:tr>
        <w:trPr>
          <w:trHeight w:val="12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6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23925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23925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23925</w:t>
            </w:r>
          </w:p>
        </w:tc>
      </w:tr>
      <w:tr>
        <w:trPr>
          <w:trHeight w:val="6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2975198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155211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155211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155211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2775000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2687825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87175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44987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44987</w:t>
            </w:r>
          </w:p>
        </w:tc>
      </w:tr>
      <w:tr>
        <w:trPr>
          <w:trHeight w:val="9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40407</w:t>
            </w:r>
          </w:p>
        </w:tc>
      </w:tr>
      <w:tr>
        <w:trPr>
          <w:trHeight w:val="6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214274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179347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165378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60026</w:t>
            </w:r>
          </w:p>
        </w:tc>
      </w:tr>
      <w:tr>
        <w:trPr>
          <w:trHeight w:val="15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6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53027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28786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</w:tr>
      <w:tr>
        <w:trPr>
          <w:trHeight w:val="15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</w:p>
        </w:tc>
      </w:tr>
      <w:tr>
        <w:trPr>
          <w:trHeight w:val="12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33721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221447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35688</w:t>
            </w:r>
          </w:p>
        </w:tc>
      </w:tr>
      <w:tr>
        <w:trPr>
          <w:trHeight w:val="9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9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27188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27188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171096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18536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18741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104869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247964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56607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52942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52942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62791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62791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38323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83833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50386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44733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</w:p>
        </w:tc>
      </w:tr>
      <w:tr>
        <w:trPr>
          <w:trHeight w:val="6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35020</w:t>
            </w:r>
          </w:p>
        </w:tc>
      </w:tr>
      <w:tr>
        <w:trPr>
          <w:trHeight w:val="12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</w:t>
            </w:r>
          </w:p>
        </w:tc>
      </w:tr>
      <w:tr>
        <w:trPr>
          <w:trHeight w:val="12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108379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108379</w:t>
            </w:r>
          </w:p>
        </w:tc>
      </w:tr>
      <w:tr>
        <w:trPr>
          <w:trHeight w:val="9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108379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108379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66062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</w:t>
            </w:r>
          </w:p>
        </w:tc>
      </w:tr>
      <w:tr>
        <w:trPr>
          <w:trHeight w:val="9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25019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25019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49"/>
        <w:gridCol w:w="665"/>
        <w:gridCol w:w="10206"/>
        <w:gridCol w:w="180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11/90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745"/>
        <w:gridCol w:w="704"/>
        <w:gridCol w:w="10202"/>
        <w:gridCol w:w="179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4030634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2714294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989454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989454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681753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681753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791141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622746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31504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136836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226695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183624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</w:p>
        </w:tc>
      </w:tr>
      <w:tr>
        <w:trPr>
          <w:trHeight w:val="12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25251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25251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9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9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1284825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1284825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727"/>
        <w:gridCol w:w="727"/>
        <w:gridCol w:w="685"/>
        <w:gridCol w:w="9442"/>
        <w:gridCol w:w="179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4030634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206306</w:t>
            </w:r>
          </w:p>
        </w:tc>
      </w:tr>
      <w:tr>
        <w:trPr>
          <w:trHeight w:val="9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154400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88194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88194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46793</w:t>
            </w:r>
          </w:p>
        </w:tc>
      </w:tr>
      <w:tr>
        <w:trPr>
          <w:trHeight w:val="9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46793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40421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40421</w:t>
            </w:r>
          </w:p>
        </w:tc>
      </w:tr>
      <w:tr>
        <w:trPr>
          <w:trHeight w:val="12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12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9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6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2837210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166076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166076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166076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2622998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2622998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2529721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93277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48136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48136</w:t>
            </w:r>
          </w:p>
        </w:tc>
      </w:tr>
      <w:tr>
        <w:trPr>
          <w:trHeight w:val="9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43235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226573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190071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175124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64228</w:t>
            </w:r>
          </w:p>
        </w:tc>
      </w:tr>
      <w:tr>
        <w:trPr>
          <w:trHeight w:val="15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56739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28971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  <w:tr>
        <w:trPr>
          <w:trHeight w:val="15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</w:p>
        </w:tc>
      </w:tr>
      <w:tr>
        <w:trPr>
          <w:trHeight w:val="12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36502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36502</w:t>
            </w:r>
          </w:p>
        </w:tc>
      </w:tr>
      <w:tr>
        <w:trPr>
          <w:trHeight w:val="9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35212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236948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38186</w:t>
            </w:r>
          </w:p>
        </w:tc>
      </w:tr>
      <w:tr>
        <w:trPr>
          <w:trHeight w:val="9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9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29091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29091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183303</w:t>
            </w:r>
          </w:p>
        </w:tc>
      </w:tr>
      <w:tr>
        <w:trPr>
          <w:trHeight w:val="9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</w:t>
            </w:r>
          </w:p>
        </w:tc>
      </w:tr>
      <w:tr>
        <w:trPr>
          <w:trHeight w:val="9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156386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112439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261558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60570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56648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56648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67187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67187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41006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9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86175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65681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51069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47626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37404</w:t>
            </w:r>
          </w:p>
        </w:tc>
      </w:tr>
      <w:tr>
        <w:trPr>
          <w:trHeight w:val="12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25216</w:t>
            </w:r>
          </w:p>
        </w:tc>
      </w:tr>
      <w:tr>
        <w:trPr>
          <w:trHeight w:val="12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28705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</w:t>
            </w:r>
          </w:p>
        </w:tc>
      </w:tr>
      <w:tr>
        <w:trPr>
          <w:trHeight w:val="9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</w:p>
        </w:tc>
      </w:tr>
      <w:tr>
        <w:trPr>
          <w:trHeight w:val="9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</w:t>
            </w:r>
          </w:p>
        </w:tc>
      </w:tr>
      <w:tr>
        <w:trPr>
          <w:trHeight w:val="9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115965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115965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115965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115965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61620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</w:t>
            </w:r>
          </w:p>
        </w:tc>
      </w:tr>
      <w:tr>
        <w:trPr>
          <w:trHeight w:val="9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49834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</w:t>
            </w:r>
          </w:p>
        </w:tc>
      </w:tr>
      <w:tr>
        <w:trPr>
          <w:trHeight w:val="9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26403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26403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07"/>
        <w:gridCol w:w="728"/>
        <w:gridCol w:w="10164"/>
        <w:gridCol w:w="180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11/90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</w:t>
      </w:r>
      <w:r>
        <w:br/>
      </w:r>
      <w:r>
        <w:rPr>
          <w:rFonts w:ascii="Times New Roman"/>
          <w:b/>
          <w:i w:val="false"/>
          <w:color w:val="000000"/>
        </w:rPr>
        <w:t>
в поселке Конырат на 2013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14.08.2013 N 19/155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66"/>
        <w:gridCol w:w="693"/>
        <w:gridCol w:w="693"/>
        <w:gridCol w:w="9494"/>
        <w:gridCol w:w="201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</w:tbl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11/90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
реализуемые в поселке Саяк на 2013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15.11.2013 N 21/165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66"/>
        <w:gridCol w:w="693"/>
        <w:gridCol w:w="715"/>
        <w:gridCol w:w="9577"/>
        <w:gridCol w:w="192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</w:tr>
    </w:tbl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11/90</w:t>
      </w:r>
    </w:p>
    <w:bookmarkEnd w:id="11"/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
реализуемые в поселке Гулшат на 2013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15.11.2013 N 21/165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25"/>
        <w:gridCol w:w="738"/>
        <w:gridCol w:w="717"/>
        <w:gridCol w:w="9585"/>
        <w:gridCol w:w="195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</w:tc>
      </w:tr>
    </w:tbl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11/90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 в процессе исполнения городского бюджета на 2013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746"/>
        <w:gridCol w:w="830"/>
        <w:gridCol w:w="749"/>
        <w:gridCol w:w="1105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11/90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городского бюджета на 2013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15.11.2013 N 21/165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18"/>
        <w:gridCol w:w="728"/>
        <w:gridCol w:w="707"/>
        <w:gridCol w:w="1155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1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