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6135" w14:textId="ff86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11 декабря 2012 года N 38/05. Зарегистрировано Департаментом юстиции Карагандинской области 29 декабря 2012 года N 2077. Утратило силу постановлением акимата Абайского района Карагандинской области от 20 мая 2013 года N 17/24</w:t>
      </w:r>
    </w:p>
    <w:p>
      <w:pPr>
        <w:spacing w:after="0"/>
        <w:ind w:left="0"/>
        <w:jc w:val="both"/>
      </w:pPr>
      <w:r>
        <w:rPr>
          <w:rFonts w:ascii="Times New Roman"/>
          <w:b w:val="false"/>
          <w:i w:val="false"/>
          <w:color w:val="ff0000"/>
          <w:sz w:val="28"/>
        </w:rPr>
        <w:t>      Сноска. Утратило силу постановлением акимата Абайского района Карагандинской области от 20.05.2013 N 17/24.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акимат Абайского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Абайского района Джунуспекову Асем Айтжановну.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Абайского района                      Е. Нашаров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Абайского района</w:t>
      </w:r>
      <w:r>
        <w:br/>
      </w:r>
      <w:r>
        <w:rPr>
          <w:rFonts w:ascii="Times New Roman"/>
          <w:b w:val="false"/>
          <w:i w:val="false"/>
          <w:color w:val="000000"/>
          <w:sz w:val="28"/>
        </w:rPr>
        <w:t>
от 11 декабря 2012 года № 38/05</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Настоящий Регламент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предоставляет районный уполномоченный орган.</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7. В Регламенте используются следующие основные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или строительства жилья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3)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4)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уполномоченный орган - государственный орган по развитию сельских территорий района.</w:t>
      </w:r>
    </w:p>
    <w:bookmarkEnd w:id="4"/>
    <w:bookmarkStart w:name="z16"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17"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аппарата Акима Абайского района www.abay-akimat-karaganda.kz,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в течение 32 календарных дней осуществляется процедура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в течение 7 календарных дней после заключения соглашения производится выплата подъемного пособия путем зачисления средств на лицевые счета потребителей в банках второго уровня;</w:t>
      </w:r>
      <w:r>
        <w:br/>
      </w:r>
      <w:r>
        <w:rPr>
          <w:rFonts w:ascii="Times New Roman"/>
          <w:b w:val="false"/>
          <w:i w:val="false"/>
          <w:color w:val="000000"/>
          <w:sz w:val="28"/>
        </w:rPr>
        <w:t>
      в течение 30 календарных дней после заключения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 предоставляется бюджетный кредит на приобретение или строительство жилья;</w:t>
      </w:r>
      <w:r>
        <w:br/>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после принятия решения постоянно действующей комиссии,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предоставить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23" w:id="7"/>
    <w:p>
      <w:pPr>
        <w:spacing w:after="0"/>
        <w:ind w:left="0"/>
        <w:jc w:val="left"/>
      </w:pPr>
      <w:r>
        <w:rPr>
          <w:rFonts w:ascii="Times New Roman"/>
          <w:b/>
          <w:i w:val="false"/>
          <w:color w:val="000000"/>
        </w:rPr>
        <w:t xml:space="preserve"> 
3. Описание порядка действий (взаимодействия) в процессе</w:t>
      </w:r>
      <w:r>
        <w:br/>
      </w:r>
      <w:r>
        <w:rPr>
          <w:rFonts w:ascii="Times New Roman"/>
          <w:b/>
          <w:i w:val="false"/>
          <w:color w:val="000000"/>
        </w:rPr>
        <w:t>
оказания государственной услуги</w:t>
      </w:r>
    </w:p>
    <w:bookmarkEnd w:id="7"/>
    <w:bookmarkStart w:name="z24"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3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9"/>
    <w:bookmarkStart w:name="z31" w:id="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0"/>
    <w:p>
      <w:pPr>
        <w:spacing w:after="0"/>
        <w:ind w:left="0"/>
        <w:jc w:val="both"/>
      </w:pPr>
      <w:r>
        <w:rPr>
          <w:rFonts w:ascii="Times New Roman"/>
          <w:b/>
          <w:i w:val="false"/>
          <w:color w:val="000000"/>
          <w:sz w:val="28"/>
        </w:rPr>
        <w:t>      Таблица 1. Описание действий структурно-функциональных единиц (далее –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97"/>
        <w:gridCol w:w="2212"/>
        <w:gridCol w:w="1889"/>
        <w:gridCol w:w="2084"/>
        <w:gridCol w:w="1997"/>
        <w:gridCol w:w="2128"/>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9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(хода, потока работ)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27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25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поддержке или в их отказе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акимата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5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7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7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(хода, потока работ)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 – в случае утверждения решения о предоставлении мер социальной поддержки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2660"/>
        <w:gridCol w:w="2319"/>
        <w:gridCol w:w="2170"/>
        <w:gridCol w:w="2149"/>
        <w:gridCol w:w="219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76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 акима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4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 Принимает заявления, необходимые документы, сверяет копии с оригиналами, регистрирует и выдает расписку (30 мин)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 Производит расчет потребности финансовых средств и вносит документы на рассмотрение постоянно действующей комиссии (5 дней)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Разрабатывает и согласовывает проект постановления акимата (7 дней)</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Вносит проект постановления в повестку дня заседания акимата (3 дня)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 Подготавливает проект Соглашения и вносит на подписание (4 дня)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 Вносит проект Соглашения на подписание (1 день)</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 Подписывает Соглашение (1 день)</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 Подписывает Соглашение (1 день)</w:t>
            </w:r>
          </w:p>
        </w:tc>
      </w:tr>
      <w:tr>
        <w:trPr>
          <w:trHeight w:val="175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 Перечисляет сумму подъемного пособия на лицевые счета потребителей (7 дней)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 Осуществляет процедуру оформления бюджетного кредита для приобретения жилья. (28 дней)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 Осуществляет перечисление средств бюджетного кредита за приобретенное жилье (2 дня)</w:t>
            </w:r>
          </w:p>
        </w:tc>
      </w:tr>
    </w:tbl>
    <w:bookmarkStart w:name="z33" w:id="12"/>
    <w:p>
      <w:pPr>
        <w:spacing w:after="0"/>
        <w:ind w:left="0"/>
        <w:jc w:val="both"/>
      </w:pPr>
      <w:r>
        <w:rPr>
          <w:rFonts w:ascii="Times New Roman"/>
          <w:b w:val="false"/>
          <w:i w:val="false"/>
          <w:color w:val="000000"/>
          <w:sz w:val="28"/>
        </w:rPr>
        <w:t>
</w:t>
      </w:r>
      <w:r>
        <w:rPr>
          <w:rFonts w:ascii="Times New Roman"/>
          <w:b/>
          <w:i w:val="false"/>
          <w:color w:val="000000"/>
          <w:sz w:val="28"/>
        </w:rPr>
        <w:t>      Таблица 3. Варианты использования. Альтернативный процесс – в случае утверждения решения об отказе в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0"/>
        <w:gridCol w:w="6680"/>
      </w:tblGrid>
      <w:tr>
        <w:trPr>
          <w:trHeight w:val="60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(30 мин)</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При предоставлении недостоверных документов, на основании решения постоянно действующей комиссии направляет потребителю письменный отказ с указанием причин (3 дня)</w:t>
            </w:r>
          </w:p>
        </w:tc>
      </w:tr>
    </w:tbl>
    <w:bookmarkStart w:name="z34"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w:t>
      </w:r>
      <w:r>
        <w:br/>
      </w:r>
      <w:r>
        <w:rPr>
          <w:rFonts w:ascii="Times New Roman"/>
          <w:b w:val="false"/>
          <w:i w:val="false"/>
          <w:color w:val="000000"/>
          <w:sz w:val="28"/>
        </w:rPr>
        <w:t>
услуги "Предоставление мер социальной</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образования, социального обеспечения,</w:t>
      </w:r>
      <w:r>
        <w:br/>
      </w:r>
      <w:r>
        <w:rPr>
          <w:rFonts w:ascii="Times New Roman"/>
          <w:b w:val="false"/>
          <w:i w:val="false"/>
          <w:color w:val="000000"/>
          <w:sz w:val="28"/>
        </w:rPr>
        <w:t>
культуры,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13"/>
    <w:bookmarkStart w:name="z35" w:id="14"/>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14"/>
    <w:p>
      <w:pPr>
        <w:spacing w:after="0"/>
        <w:ind w:left="0"/>
        <w:jc w:val="both"/>
      </w:pPr>
      <w:r>
        <w:drawing>
          <wp:inline distT="0" distB="0" distL="0" distR="0">
            <wp:extent cx="73533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782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