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d774" w14:textId="8cbd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Жанааркинского района Карагандинской области от 10 декабря 2012 года N 65/02. Зарегистрировано Департаментом юстиции Карагандинской области 11 января 2013 года N 2099. Утратило силу постановлением акимата Жанааркинского района Карагандинской области от 30 апреля 2013 года N 31/01</w:t>
      </w:r>
    </w:p>
    <w:p>
      <w:pPr>
        <w:spacing w:after="0"/>
        <w:ind w:left="0"/>
        <w:jc w:val="both"/>
      </w:pPr>
      <w:r>
        <w:rPr>
          <w:rFonts w:ascii="Times New Roman"/>
          <w:b w:val="false"/>
          <w:i w:val="false"/>
          <w:color w:val="ff0000"/>
          <w:sz w:val="28"/>
        </w:rPr>
        <w:t>      Сноска. Утратило силу постановлением акимата Жанааркинского района Карагандинской области от 30.04.2013 N 31/01.</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Жанааркинского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регламент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Жанааркинского района Жандаулетова Марата Жандаулетовича.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Г. Омаров</w:t>
      </w:r>
    </w:p>
    <w:bookmarkStart w:name="z6"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Жанааркинского района</w:t>
      </w:r>
      <w:r>
        <w:br/>
      </w:r>
      <w:r>
        <w:rPr>
          <w:rFonts w:ascii="Times New Roman"/>
          <w:b w:val="false"/>
          <w:i w:val="false"/>
          <w:color w:val="000000"/>
          <w:sz w:val="28"/>
        </w:rPr>
        <w:t>
от 10 декабря 2012 года</w:t>
      </w:r>
      <w:r>
        <w:br/>
      </w:r>
      <w:r>
        <w:rPr>
          <w:rFonts w:ascii="Times New Roman"/>
          <w:b w:val="false"/>
          <w:i w:val="false"/>
          <w:color w:val="000000"/>
          <w:sz w:val="28"/>
        </w:rPr>
        <w:t>
N 65/02</w:t>
      </w:r>
    </w:p>
    <w:bookmarkEnd w:id="1"/>
    <w:bookmarkStart w:name="z7" w:id="2"/>
    <w:p>
      <w:pPr>
        <w:spacing w:after="0"/>
        <w:ind w:left="0"/>
        <w:jc w:val="left"/>
      </w:pPr>
      <w:r>
        <w:rPr>
          <w:rFonts w:ascii="Times New Roman"/>
          <w:b/>
          <w:i w:val="false"/>
          <w:color w:val="000000"/>
        </w:rPr>
        <w:t xml:space="preserve"> 
Регламент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Настоящий регламент оказания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Государственную услугу представляет районный уполномоченный орган.</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на основании:</w:t>
      </w:r>
      <w:r>
        <w:br/>
      </w:r>
      <w:r>
        <w:rPr>
          <w:rFonts w:ascii="Times New Roman"/>
          <w:b w:val="false"/>
          <w:i w:val="false"/>
          <w:color w:val="000000"/>
          <w:sz w:val="28"/>
        </w:rPr>
        <w:t>
      1) </w:t>
      </w:r>
      <w:r>
        <w:rPr>
          <w:rFonts w:ascii="Times New Roman"/>
          <w:b w:val="false"/>
          <w:i w:val="false"/>
          <w:color w:val="000000"/>
          <w:sz w:val="28"/>
        </w:rPr>
        <w:t>пункта 8</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w:t>
      </w:r>
      <w:r>
        <w:br/>
      </w:r>
      <w:r>
        <w:rPr>
          <w:rFonts w:ascii="Times New Roman"/>
          <w:b w:val="false"/>
          <w:i w:val="false"/>
          <w:color w:val="000000"/>
          <w:sz w:val="28"/>
        </w:rPr>
        <w:t>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февраля 2009 года N 183 "Об утверждении размеров и Правил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Постановление);</w:t>
      </w:r>
      <w:r>
        <w:br/>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января 2011 года N 51 "Об утверждении стандарта государственной услуги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Стандарт).</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 меры социальной поддержки в виде подъемного пособия и бюджетного кредита или мотивированный ответ об отказе в предоставлении услуги.</w:t>
      </w:r>
      <w:r>
        <w:br/>
      </w:r>
      <w:r>
        <w:rPr>
          <w:rFonts w:ascii="Times New Roman"/>
          <w:b w:val="false"/>
          <w:i w:val="false"/>
          <w:color w:val="000000"/>
          <w:sz w:val="28"/>
        </w:rPr>
        <w:t>
</w:t>
      </w:r>
      <w:r>
        <w:rPr>
          <w:rFonts w:ascii="Times New Roman"/>
          <w:b w:val="false"/>
          <w:i w:val="false"/>
          <w:color w:val="000000"/>
          <w:sz w:val="28"/>
        </w:rPr>
        <w:t>
      6. В процессе оказания государственной услуги по предоставлению подъемного пособия участия других органов не предусмотрено. При предоставлении бюджетного кредита участвует поверенный (агент), который осуществляет процедуру оформления бюджетного кредита для приобретения или строительства жилья.</w:t>
      </w:r>
      <w:r>
        <w:br/>
      </w:r>
      <w:r>
        <w:rPr>
          <w:rFonts w:ascii="Times New Roman"/>
          <w:b w:val="false"/>
          <w:i w:val="false"/>
          <w:color w:val="000000"/>
          <w:sz w:val="28"/>
        </w:rPr>
        <w:t>
</w:t>
      </w:r>
      <w:r>
        <w:rPr>
          <w:rFonts w:ascii="Times New Roman"/>
          <w:b w:val="false"/>
          <w:i w:val="false"/>
          <w:color w:val="000000"/>
          <w:sz w:val="28"/>
        </w:rPr>
        <w:t>
      7. В Регламенте используются следующие основные понятия:</w:t>
      </w:r>
      <w:r>
        <w:br/>
      </w:r>
      <w:r>
        <w:rPr>
          <w:rFonts w:ascii="Times New Roman"/>
          <w:b w:val="false"/>
          <w:i w:val="false"/>
          <w:color w:val="000000"/>
          <w:sz w:val="28"/>
        </w:rPr>
        <w:t>
      1) бюджетный кредит – мера социальной поддержки потребителей в виде бюджетного кредита на приобретение или строительства жилья в размере, установленного </w:t>
      </w:r>
      <w:r>
        <w:rPr>
          <w:rFonts w:ascii="Times New Roman"/>
          <w:b w:val="false"/>
          <w:i w:val="false"/>
          <w:color w:val="000000"/>
          <w:sz w:val="28"/>
        </w:rPr>
        <w:t>Постановлением</w:t>
      </w:r>
      <w:r>
        <w:rPr>
          <w:rFonts w:ascii="Times New Roman"/>
          <w:b w:val="false"/>
          <w:i w:val="false"/>
          <w:color w:val="000000"/>
          <w:sz w:val="28"/>
        </w:rPr>
        <w:t>.</w:t>
      </w:r>
      <w:r>
        <w:br/>
      </w:r>
      <w:r>
        <w:rPr>
          <w:rFonts w:ascii="Times New Roman"/>
          <w:b w:val="false"/>
          <w:i w:val="false"/>
          <w:color w:val="000000"/>
          <w:sz w:val="28"/>
        </w:rPr>
        <w:t>
      2) подъемное пособие – мера социальной поддержки потребителей в виде единовременной денежной выплаты в размере, установленного </w:t>
      </w:r>
      <w:r>
        <w:rPr>
          <w:rFonts w:ascii="Times New Roman"/>
          <w:b w:val="false"/>
          <w:i w:val="false"/>
          <w:color w:val="000000"/>
          <w:sz w:val="28"/>
        </w:rPr>
        <w:t>Постановлением</w:t>
      </w:r>
      <w:r>
        <w:rPr>
          <w:rFonts w:ascii="Times New Roman"/>
          <w:b w:val="false"/>
          <w:i w:val="false"/>
          <w:color w:val="000000"/>
          <w:sz w:val="28"/>
        </w:rPr>
        <w:t>.</w:t>
      </w:r>
      <w:r>
        <w:br/>
      </w:r>
      <w:r>
        <w:rPr>
          <w:rFonts w:ascii="Times New Roman"/>
          <w:b w:val="false"/>
          <w:i w:val="false"/>
          <w:color w:val="000000"/>
          <w:sz w:val="28"/>
        </w:rPr>
        <w:t>
      3) государственная услуга – предоставление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(далее - потребители);</w:t>
      </w:r>
      <w:r>
        <w:br/>
      </w:r>
      <w:r>
        <w:rPr>
          <w:rFonts w:ascii="Times New Roman"/>
          <w:b w:val="false"/>
          <w:i w:val="false"/>
          <w:color w:val="000000"/>
          <w:sz w:val="28"/>
        </w:rPr>
        <w:t>
      4) поверенный (агент) – финансовое агентство, выполняющее от имени и по поручению акима района функции по обслуживанию бюджетных кредитов, предоставляемых потребителям.</w:t>
      </w:r>
      <w:r>
        <w:br/>
      </w:r>
      <w:r>
        <w:rPr>
          <w:rFonts w:ascii="Times New Roman"/>
          <w:b w:val="false"/>
          <w:i w:val="false"/>
          <w:color w:val="000000"/>
          <w:sz w:val="28"/>
        </w:rPr>
        <w:t>
      5) постоянно действующая комиссия – коллегиальный орган, создаваемый акиматом района для организации работы по оказанию мер социальной поддержки потребителям, состоящий из депутатов районного маслихата, представителей исполнительных органов района и общественных организаций;</w:t>
      </w:r>
      <w:r>
        <w:br/>
      </w:r>
      <w:r>
        <w:rPr>
          <w:rFonts w:ascii="Times New Roman"/>
          <w:b w:val="false"/>
          <w:i w:val="false"/>
          <w:color w:val="000000"/>
          <w:sz w:val="28"/>
        </w:rPr>
        <w:t>
      6) уполномоченный орган – государственный орган по развитию сельских территорий района;</w:t>
      </w:r>
    </w:p>
    <w:bookmarkEnd w:id="4"/>
    <w:bookmarkStart w:name="z16" w:id="5"/>
    <w:p>
      <w:pPr>
        <w:spacing w:after="0"/>
        <w:ind w:left="0"/>
        <w:jc w:val="left"/>
      </w:pPr>
      <w:r>
        <w:rPr>
          <w:rFonts w:ascii="Times New Roman"/>
          <w:b/>
          <w:i w:val="false"/>
          <w:color w:val="000000"/>
        </w:rPr>
        <w:t xml:space="preserve"> 
2. Требования оказания государственной услуги</w:t>
      </w:r>
    </w:p>
    <w:bookmarkEnd w:id="5"/>
    <w:bookmarkStart w:name="z17" w:id="6"/>
    <w:p>
      <w:pPr>
        <w:spacing w:after="0"/>
        <w:ind w:left="0"/>
        <w:jc w:val="both"/>
      </w:pPr>
      <w:r>
        <w:rPr>
          <w:rFonts w:ascii="Times New Roman"/>
          <w:b w:val="false"/>
          <w:i w:val="false"/>
          <w:color w:val="000000"/>
          <w:sz w:val="28"/>
        </w:rPr>
        <w:t>
      8. Информацию о месте нахождения государственных органов, порядке оказания государственной услуги и ходе их оказания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потребители могут получить в интернет-ресурсе www.akimat-zhanaarka.кz аппарата акима Жанааркинского района в разделе "С дипломом в село", на стендах уполномоченного органа в местах предоставления государственной услуги.</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в следующие сроки с момента сдачи потребителем документов:</w:t>
      </w:r>
      <w:r>
        <w:br/>
      </w:r>
      <w:r>
        <w:rPr>
          <w:rFonts w:ascii="Times New Roman"/>
          <w:b w:val="false"/>
          <w:i w:val="false"/>
          <w:color w:val="000000"/>
          <w:sz w:val="28"/>
        </w:rPr>
        <w:t>
      1) в течение тридцати девяти календарных дней выплачивается подъемное пособие;</w:t>
      </w:r>
      <w:r>
        <w:br/>
      </w:r>
      <w:r>
        <w:rPr>
          <w:rFonts w:ascii="Times New Roman"/>
          <w:b w:val="false"/>
          <w:i w:val="false"/>
          <w:color w:val="000000"/>
          <w:sz w:val="28"/>
        </w:rPr>
        <w:t>
      2) в течение тридцати двух календарных дней осуществляется процедура заключения Соглашения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 и в течение тридцати рабочих дней после заключения Соглашения предоставляется бюджетный кредит на приобретение или строительство жилья;</w:t>
      </w:r>
      <w:r>
        <w:br/>
      </w:r>
      <w:r>
        <w:rPr>
          <w:rFonts w:ascii="Times New Roman"/>
          <w:b w:val="false"/>
          <w:i w:val="false"/>
          <w:color w:val="000000"/>
          <w:sz w:val="28"/>
        </w:rPr>
        <w:t>
      3) в предоставлении мер социальной поддержки, уполномоченный орган в течение в случае отказа трех рабочих дней направляет потребителю мотивированный ответ;</w:t>
      </w:r>
      <w:r>
        <w:br/>
      </w:r>
      <w:r>
        <w:rPr>
          <w:rFonts w:ascii="Times New Roman"/>
          <w:b w:val="false"/>
          <w:i w:val="false"/>
          <w:color w:val="000000"/>
          <w:sz w:val="28"/>
        </w:rPr>
        <w:t>
      4) максимально допустимое время ожидания до получения государственной услуги, оказываемой на месте в день обращения потребителя - не более десяти минут;</w:t>
      </w:r>
      <w:r>
        <w:br/>
      </w:r>
      <w:r>
        <w:rPr>
          <w:rFonts w:ascii="Times New Roman"/>
          <w:b w:val="false"/>
          <w:i w:val="false"/>
          <w:color w:val="000000"/>
          <w:sz w:val="28"/>
        </w:rPr>
        <w:t>
      5) максимальное время обслуживания получателя государственной услуги, оказываемой на месте в день обращения потребителя - не более тридцати минут.</w:t>
      </w:r>
      <w:r>
        <w:br/>
      </w:r>
      <w:r>
        <w:rPr>
          <w:rFonts w:ascii="Times New Roman"/>
          <w:b w:val="false"/>
          <w:i w:val="false"/>
          <w:color w:val="000000"/>
          <w:sz w:val="28"/>
        </w:rPr>
        <w:t>
</w:t>
      </w:r>
      <w:r>
        <w:rPr>
          <w:rFonts w:ascii="Times New Roman"/>
          <w:b w:val="false"/>
          <w:i w:val="false"/>
          <w:color w:val="000000"/>
          <w:sz w:val="28"/>
        </w:rPr>
        <w:t>
      11. Основанием для отказа является факт предоставления недостоверных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с приложением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2) уполномоченный орган осуществляет прием и регистрацию документов и направляет для рассмотрения в постоянно действующую комиссию;</w:t>
      </w:r>
      <w:r>
        <w:br/>
      </w:r>
      <w:r>
        <w:rPr>
          <w:rFonts w:ascii="Times New Roman"/>
          <w:b w:val="false"/>
          <w:i w:val="false"/>
          <w:color w:val="000000"/>
          <w:sz w:val="28"/>
        </w:rPr>
        <w:t>
      3) постоянно действующая комиссия рассматривает поступившие документы и рекомендует акимату района представить меру социальной поддержки или отказать;</w:t>
      </w:r>
      <w:r>
        <w:br/>
      </w:r>
      <w:r>
        <w:rPr>
          <w:rFonts w:ascii="Times New Roman"/>
          <w:b w:val="false"/>
          <w:i w:val="false"/>
          <w:color w:val="000000"/>
          <w:sz w:val="28"/>
        </w:rPr>
        <w:t>
      4) акимат принимает постановление об оказании мер социальной поддержки и направляет его в уполномоченный орган и поверенному (агенту);</w:t>
      </w:r>
      <w:r>
        <w:br/>
      </w:r>
      <w:r>
        <w:rPr>
          <w:rFonts w:ascii="Times New Roman"/>
          <w:b w:val="false"/>
          <w:i w:val="false"/>
          <w:color w:val="000000"/>
          <w:sz w:val="28"/>
        </w:rPr>
        <w:t>
      5) уполномоченный орган, поверенный (агент) и потребитель заключают соглашение согласно </w:t>
      </w:r>
      <w:r>
        <w:rPr>
          <w:rFonts w:ascii="Times New Roman"/>
          <w:b w:val="false"/>
          <w:i w:val="false"/>
          <w:color w:val="000000"/>
          <w:sz w:val="28"/>
        </w:rPr>
        <w:t>приложению 2</w:t>
      </w:r>
      <w:r>
        <w:rPr>
          <w:rFonts w:ascii="Times New Roman"/>
          <w:b w:val="false"/>
          <w:i w:val="false"/>
          <w:color w:val="000000"/>
          <w:sz w:val="28"/>
        </w:rPr>
        <w:t xml:space="preserve"> Стандарта;</w:t>
      </w:r>
      <w:r>
        <w:br/>
      </w:r>
      <w:r>
        <w:rPr>
          <w:rFonts w:ascii="Times New Roman"/>
          <w:b w:val="false"/>
          <w:i w:val="false"/>
          <w:color w:val="000000"/>
          <w:sz w:val="28"/>
        </w:rPr>
        <w:t>
      6) уполномоченный орган выплачивает подъемное пособие;</w:t>
      </w:r>
      <w:r>
        <w:br/>
      </w:r>
      <w:r>
        <w:rPr>
          <w:rFonts w:ascii="Times New Roman"/>
          <w:b w:val="false"/>
          <w:i w:val="false"/>
          <w:color w:val="000000"/>
          <w:sz w:val="28"/>
        </w:rPr>
        <w:t>
      7) поверенный (агент) осуществляет процедуру оформления бюджетного кредита на приобретение или строительства жилья.</w:t>
      </w:r>
      <w:r>
        <w:br/>
      </w:r>
      <w:r>
        <w:rPr>
          <w:rFonts w:ascii="Times New Roman"/>
          <w:b w:val="false"/>
          <w:i w:val="false"/>
          <w:color w:val="000000"/>
          <w:sz w:val="28"/>
        </w:rPr>
        <w:t>
</w:t>
      </w:r>
      <w:r>
        <w:rPr>
          <w:rFonts w:ascii="Times New Roman"/>
          <w:b w:val="false"/>
          <w:i w:val="false"/>
          <w:color w:val="000000"/>
          <w:sz w:val="28"/>
        </w:rPr>
        <w:t>
      13. Прием документов для оказания государственной услуги осуществляются одним специалистом уполномоченного органа и одним специалистом поверенного (агента).</w:t>
      </w:r>
    </w:p>
    <w:bookmarkEnd w:id="6"/>
    <w:bookmarkStart w:name="z23" w:id="7"/>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7"/>
    <w:bookmarkStart w:name="z24" w:id="8"/>
    <w:p>
      <w:pPr>
        <w:spacing w:after="0"/>
        <w:ind w:left="0"/>
        <w:jc w:val="both"/>
      </w:pPr>
      <w:r>
        <w:rPr>
          <w:rFonts w:ascii="Times New Roman"/>
          <w:b w:val="false"/>
          <w:i w:val="false"/>
          <w:color w:val="000000"/>
          <w:sz w:val="28"/>
        </w:rPr>
        <w:t>
      14. Государственная услуга предоставляется при личном обращении потребителя в районный уполномоченный орган с предоставлением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Стандарта.</w:t>
      </w:r>
      <w:r>
        <w:br/>
      </w:r>
      <w:r>
        <w:rPr>
          <w:rFonts w:ascii="Times New Roman"/>
          <w:b w:val="false"/>
          <w:i w:val="false"/>
          <w:color w:val="000000"/>
          <w:sz w:val="28"/>
        </w:rPr>
        <w:t>
      Потребителю выдается расписка, подтверждающая, что потребитель сдал все необходимые документы для получения государственной услуги и указывается дата получения им мер социальной поддержки.</w:t>
      </w:r>
      <w:r>
        <w:br/>
      </w:r>
      <w:r>
        <w:rPr>
          <w:rFonts w:ascii="Times New Roman"/>
          <w:b w:val="false"/>
          <w:i w:val="false"/>
          <w:color w:val="000000"/>
          <w:sz w:val="28"/>
        </w:rPr>
        <w:t>
</w:t>
      </w:r>
      <w:r>
        <w:rPr>
          <w:rFonts w:ascii="Times New Roman"/>
          <w:b w:val="false"/>
          <w:i w:val="false"/>
          <w:color w:val="000000"/>
          <w:sz w:val="28"/>
        </w:rPr>
        <w:t>
      15. Для получения государственной услуги потребитель предоставляет документы, определенные в </w:t>
      </w:r>
      <w:r>
        <w:rPr>
          <w:rFonts w:ascii="Times New Roman"/>
          <w:b w:val="false"/>
          <w:i w:val="false"/>
          <w:color w:val="000000"/>
          <w:sz w:val="28"/>
        </w:rPr>
        <w:t>пункте 11</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16. Требований к информационной безопасности не предусмотрено.</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специалист уполномоченного органа;</w:t>
      </w:r>
      <w:r>
        <w:br/>
      </w:r>
      <w:r>
        <w:rPr>
          <w:rFonts w:ascii="Times New Roman"/>
          <w:b w:val="false"/>
          <w:i w:val="false"/>
          <w:color w:val="000000"/>
          <w:sz w:val="28"/>
        </w:rPr>
        <w:t>
      2) начальник уполномоченного органа;</w:t>
      </w:r>
      <w:r>
        <w:br/>
      </w:r>
      <w:r>
        <w:rPr>
          <w:rFonts w:ascii="Times New Roman"/>
          <w:b w:val="false"/>
          <w:i w:val="false"/>
          <w:color w:val="000000"/>
          <w:sz w:val="28"/>
        </w:rPr>
        <w:t>
      3) специалист аппарата акима района;</w:t>
      </w:r>
      <w:r>
        <w:br/>
      </w:r>
      <w:r>
        <w:rPr>
          <w:rFonts w:ascii="Times New Roman"/>
          <w:b w:val="false"/>
          <w:i w:val="false"/>
          <w:color w:val="000000"/>
          <w:sz w:val="28"/>
        </w:rPr>
        <w:t>
      4) руководитель аппарата акима района;</w:t>
      </w:r>
      <w:r>
        <w:br/>
      </w:r>
      <w:r>
        <w:rPr>
          <w:rFonts w:ascii="Times New Roman"/>
          <w:b w:val="false"/>
          <w:i w:val="false"/>
          <w:color w:val="000000"/>
          <w:sz w:val="28"/>
        </w:rPr>
        <w:t>
      5) представитель поверенного (агента);</w:t>
      </w:r>
      <w:r>
        <w:br/>
      </w:r>
      <w:r>
        <w:rPr>
          <w:rFonts w:ascii="Times New Roman"/>
          <w:b w:val="false"/>
          <w:i w:val="false"/>
          <w:color w:val="000000"/>
          <w:sz w:val="28"/>
        </w:rPr>
        <w:t>
      6) руководитель поверенного (агента).</w:t>
      </w:r>
      <w:r>
        <w:br/>
      </w:r>
      <w:r>
        <w:rPr>
          <w:rFonts w:ascii="Times New Roman"/>
          <w:b w:val="false"/>
          <w:i w:val="false"/>
          <w:color w:val="000000"/>
          <w:sz w:val="28"/>
        </w:rPr>
        <w:t>
</w:t>
      </w:r>
      <w:r>
        <w:rPr>
          <w:rFonts w:ascii="Times New Roman"/>
          <w:b w:val="false"/>
          <w:i w:val="false"/>
          <w:color w:val="000000"/>
          <w:sz w:val="28"/>
        </w:rPr>
        <w:t>
      18.Текстовое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19.Схема,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
    <w:bookmarkStart w:name="z30"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"Предоставление мер социальной</w:t>
      </w:r>
      <w:r>
        <w:br/>
      </w:r>
      <w:r>
        <w:rPr>
          <w:rFonts w:ascii="Times New Roman"/>
          <w:b w:val="false"/>
          <w:i w:val="false"/>
          <w:color w:val="000000"/>
          <w:sz w:val="28"/>
        </w:rPr>
        <w:t>
поддержки специалистам</w:t>
      </w:r>
      <w:r>
        <w:br/>
      </w:r>
      <w:r>
        <w:rPr>
          <w:rFonts w:ascii="Times New Roman"/>
          <w:b w:val="false"/>
          <w:i w:val="false"/>
          <w:color w:val="000000"/>
          <w:sz w:val="28"/>
        </w:rPr>
        <w:t>
здравоохранения, образования,</w:t>
      </w:r>
      <w:r>
        <w:br/>
      </w:r>
      <w:r>
        <w:rPr>
          <w:rFonts w:ascii="Times New Roman"/>
          <w:b w:val="false"/>
          <w:i w:val="false"/>
          <w:color w:val="000000"/>
          <w:sz w:val="28"/>
        </w:rPr>
        <w:t>
социального обеспечения, культуры,</w:t>
      </w:r>
      <w:r>
        <w:br/>
      </w:r>
      <w:r>
        <w:rPr>
          <w:rFonts w:ascii="Times New Roman"/>
          <w:b w:val="false"/>
          <w:i w:val="false"/>
          <w:color w:val="000000"/>
          <w:sz w:val="28"/>
        </w:rPr>
        <w:t>
спорта и ветеринарии, прибывшим</w:t>
      </w:r>
      <w:r>
        <w:br/>
      </w:r>
      <w:r>
        <w:rPr>
          <w:rFonts w:ascii="Times New Roman"/>
          <w:b w:val="false"/>
          <w:i w:val="false"/>
          <w:color w:val="000000"/>
          <w:sz w:val="28"/>
        </w:rPr>
        <w:t>
для работы и проживания в сельские</w:t>
      </w:r>
      <w:r>
        <w:br/>
      </w:r>
      <w:r>
        <w:rPr>
          <w:rFonts w:ascii="Times New Roman"/>
          <w:b w:val="false"/>
          <w:i w:val="false"/>
          <w:color w:val="000000"/>
          <w:sz w:val="28"/>
        </w:rPr>
        <w:t>
населенные пункты"</w:t>
      </w:r>
    </w:p>
    <w:bookmarkEnd w:id="9"/>
    <w:bookmarkStart w:name="z31" w:id="10"/>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w:t>
      </w:r>
    </w:p>
    <w:bookmarkEnd w:id="10"/>
    <w:bookmarkStart w:name="z32" w:id="11"/>
    <w:p>
      <w:pPr>
        <w:spacing w:after="0"/>
        <w:ind w:left="0"/>
        <w:jc w:val="both"/>
      </w:pPr>
      <w:r>
        <w:rPr>
          <w:rFonts w:ascii="Times New Roman"/>
          <w:b w:val="false"/>
          <w:i w:val="false"/>
          <w:color w:val="000000"/>
          <w:sz w:val="28"/>
        </w:rPr>
        <w:t>
      Таблица 1. описание действий структурно-функциональных единиц (далее - СФЕ)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912"/>
        <w:gridCol w:w="2165"/>
        <w:gridCol w:w="2165"/>
        <w:gridCol w:w="1912"/>
        <w:gridCol w:w="1659"/>
        <w:gridCol w:w="19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основного процесса (хода, потока работ)</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Действие (хода, потока работ)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действующая комиссия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 процесса, процедуры, операции) и их описание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представленные документы и рекомендует мер социальной поддержки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Разрабатывает и согласовывает проект постановления акимата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постановления в повестку дня заседания акимата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Подготавливает проект Соглашения и вносит на подписание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досье, выдача расписки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постоянно действующей комиссии о предоставлении мер социальной поддержки или в их отказе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постоянно действующей комиссии об отказе в предоставлении мер социальной поддержки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постановления акимата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дней</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дней</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дня</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2.действия (хода, потока работ)</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Вносит проект Соглашения на подписание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Соглашение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Перечисляет сумму подъемного пособия на индивидуальные лицевые счета потребителей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или строительства жилья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 или построенное жилье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 и залога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Платежное поручение</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дней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дней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p>
        </w:tc>
      </w:tr>
    </w:tbl>
    <w:bookmarkStart w:name="z33" w:id="12"/>
    <w:p>
      <w:pPr>
        <w:spacing w:after="0"/>
        <w:ind w:left="0"/>
        <w:jc w:val="both"/>
      </w:pPr>
      <w:r>
        <w:rPr>
          <w:rFonts w:ascii="Times New Roman"/>
          <w:b w:val="false"/>
          <w:i w:val="false"/>
          <w:color w:val="000000"/>
          <w:sz w:val="28"/>
        </w:rPr>
        <w:t>
      Таблица 2. Варианты использования. Основной процесс - в случае утверждения решения о предоставлении мер социальной поддержки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275"/>
        <w:gridCol w:w="2078"/>
        <w:gridCol w:w="1919"/>
        <w:gridCol w:w="1920"/>
        <w:gridCol w:w="26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 ход, поток работ)</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действующая комиссия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акима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поверенного (агента)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поверенного (агента)</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p>
          <w:p>
            <w:pPr>
              <w:spacing w:after="20"/>
              <w:ind w:left="20"/>
              <w:jc w:val="both"/>
            </w:pP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 (30 мин)</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p>
          <w:p>
            <w:pPr>
              <w:spacing w:after="20"/>
              <w:ind w:left="20"/>
              <w:jc w:val="both"/>
            </w:pP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 (5 дней)</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p>
          <w:p>
            <w:pPr>
              <w:spacing w:after="20"/>
              <w:ind w:left="20"/>
              <w:jc w:val="both"/>
            </w:pPr>
            <w:r>
              <w:rPr>
                <w:rFonts w:ascii="Times New Roman"/>
                <w:b w:val="false"/>
                <w:i w:val="false"/>
                <w:color w:val="000000"/>
                <w:sz w:val="20"/>
              </w:rPr>
              <w:t>Рассматривает представленные документы и рекомендует мер социальной поддержки (10 дней)</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p>
          <w:p>
            <w:pPr>
              <w:spacing w:after="20"/>
              <w:ind w:left="20"/>
              <w:jc w:val="both"/>
            </w:pPr>
            <w:r>
              <w:rPr>
                <w:rFonts w:ascii="Times New Roman"/>
                <w:b w:val="false"/>
                <w:i w:val="false"/>
                <w:color w:val="000000"/>
                <w:sz w:val="20"/>
              </w:rPr>
              <w:t>Разрабатывает и согласовывает проект постановления акимата (7 дней)</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p>
          <w:p>
            <w:pPr>
              <w:spacing w:after="20"/>
              <w:ind w:left="20"/>
              <w:jc w:val="both"/>
            </w:pPr>
            <w:r>
              <w:rPr>
                <w:rFonts w:ascii="Times New Roman"/>
                <w:b w:val="false"/>
                <w:i w:val="false"/>
                <w:color w:val="000000"/>
                <w:sz w:val="20"/>
              </w:rPr>
              <w:t>Вносит проект постановления в повестку дня заседания акимата (3 дня)</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p>
          <w:p>
            <w:pPr>
              <w:spacing w:after="20"/>
              <w:ind w:left="20"/>
              <w:jc w:val="both"/>
            </w:pPr>
            <w:r>
              <w:rPr>
                <w:rFonts w:ascii="Times New Roman"/>
                <w:b w:val="false"/>
                <w:i w:val="false"/>
                <w:color w:val="000000"/>
                <w:sz w:val="20"/>
              </w:rPr>
              <w:t>Подготавливает проект Соглашения и вносит на подписание (4 дня)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p>
          <w:p>
            <w:pPr>
              <w:spacing w:after="20"/>
              <w:ind w:left="20"/>
              <w:jc w:val="both"/>
            </w:pPr>
            <w:r>
              <w:rPr>
                <w:rFonts w:ascii="Times New Roman"/>
                <w:b w:val="false"/>
                <w:i w:val="false"/>
                <w:color w:val="000000"/>
                <w:sz w:val="20"/>
              </w:rPr>
              <w:t>Вносит проект Соглашения на подписание (1 день)</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p>
          <w:p>
            <w:pPr>
              <w:spacing w:after="20"/>
              <w:ind w:left="20"/>
              <w:jc w:val="both"/>
            </w:pPr>
            <w:r>
              <w:rPr>
                <w:rFonts w:ascii="Times New Roman"/>
                <w:b w:val="false"/>
                <w:i w:val="false"/>
                <w:color w:val="000000"/>
                <w:sz w:val="20"/>
              </w:rPr>
              <w:t>Подписывает Соглашение (1 день)</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p>
          <w:p>
            <w:pPr>
              <w:spacing w:after="20"/>
              <w:ind w:left="20"/>
              <w:jc w:val="both"/>
            </w:pPr>
            <w:r>
              <w:rPr>
                <w:rFonts w:ascii="Times New Roman"/>
                <w:b w:val="false"/>
                <w:i w:val="false"/>
                <w:color w:val="000000"/>
                <w:sz w:val="20"/>
              </w:rPr>
              <w:t>Подписывает Соглашение (1 день)</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10</w:t>
            </w:r>
          </w:p>
          <w:p>
            <w:pPr>
              <w:spacing w:after="20"/>
              <w:ind w:left="20"/>
              <w:jc w:val="both"/>
            </w:pPr>
            <w:r>
              <w:rPr>
                <w:rFonts w:ascii="Times New Roman"/>
                <w:b w:val="false"/>
                <w:i w:val="false"/>
                <w:color w:val="000000"/>
                <w:sz w:val="20"/>
              </w:rPr>
              <w:t>Перечисляет сумму подъемного пособия на лицевые счета потребителей (7 дней)</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11</w:t>
            </w:r>
          </w:p>
          <w:p>
            <w:pPr>
              <w:spacing w:after="20"/>
              <w:ind w:left="20"/>
              <w:jc w:val="both"/>
            </w:pPr>
            <w:r>
              <w:rPr>
                <w:rFonts w:ascii="Times New Roman"/>
                <w:b w:val="false"/>
                <w:i w:val="false"/>
                <w:color w:val="000000"/>
                <w:sz w:val="20"/>
              </w:rPr>
              <w:t>Осуществляет процедуру оформления бюджетного кредита для приобретения жилья или строительство жилья (28 дней)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12</w:t>
            </w:r>
          </w:p>
          <w:p>
            <w:pPr>
              <w:spacing w:after="20"/>
              <w:ind w:left="20"/>
              <w:jc w:val="both"/>
            </w:pPr>
            <w:r>
              <w:rPr>
                <w:rFonts w:ascii="Times New Roman"/>
                <w:b w:val="false"/>
                <w:i w:val="false"/>
                <w:color w:val="000000"/>
                <w:sz w:val="20"/>
              </w:rPr>
              <w:t>Осуществляет перечисление средств бюджетного кредита за приобретенное жилье или построенное жилье (2 дня)</w:t>
            </w:r>
          </w:p>
        </w:tc>
      </w:tr>
    </w:tbl>
    <w:bookmarkStart w:name="z34" w:id="13"/>
    <w:p>
      <w:pPr>
        <w:spacing w:after="0"/>
        <w:ind w:left="0"/>
        <w:jc w:val="both"/>
      </w:pPr>
      <w:r>
        <w:rPr>
          <w:rFonts w:ascii="Times New Roman"/>
          <w:b w:val="false"/>
          <w:i w:val="false"/>
          <w:color w:val="000000"/>
          <w:sz w:val="28"/>
        </w:rPr>
        <w:t>
      Таблица 3. Варианты использования. Альтернативный процесс - в случае утверждения решения об отказе в предоставлении мер социальной поддержки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8"/>
        <w:gridCol w:w="4698"/>
        <w:gridCol w:w="3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Альтернативный процесс (ход, поток работ)</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уполномоченного органа</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уполномоченного органа</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 действующая комиссия</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Принимает заявления, необходимые документы, сверяет копии с оригиналами, регистрирует и выдает расписку ( 30 мин)</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производит расчет потребности финансовых средств и вносит документы на рассмотрение постоянно действующей комиссии (5 дней)</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 Рассматривает представленные документы и рекомендует мер социальной поддержки (10 дней)</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На основании решения постоянно действующей комиссии готовит потребителю мотивированный ответ об отказе в предоставлении услуг (2 дня)</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Выдает потребителю мотивированный ответ об отказе в предоставлении услуг (1 день)</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"Предоставление мер социальной</w:t>
      </w:r>
      <w:r>
        <w:br/>
      </w:r>
      <w:r>
        <w:rPr>
          <w:rFonts w:ascii="Times New Roman"/>
          <w:b w:val="false"/>
          <w:i w:val="false"/>
          <w:color w:val="000000"/>
          <w:sz w:val="28"/>
        </w:rPr>
        <w:t>
поддержки специалистам</w:t>
      </w:r>
      <w:r>
        <w:br/>
      </w:r>
      <w:r>
        <w:rPr>
          <w:rFonts w:ascii="Times New Roman"/>
          <w:b w:val="false"/>
          <w:i w:val="false"/>
          <w:color w:val="000000"/>
          <w:sz w:val="28"/>
        </w:rPr>
        <w:t>
здравоохранения, образования,</w:t>
      </w:r>
      <w:r>
        <w:br/>
      </w:r>
      <w:r>
        <w:rPr>
          <w:rFonts w:ascii="Times New Roman"/>
          <w:b w:val="false"/>
          <w:i w:val="false"/>
          <w:color w:val="000000"/>
          <w:sz w:val="28"/>
        </w:rPr>
        <w:t>
социального обеспечения, культуры,</w:t>
      </w:r>
      <w:r>
        <w:br/>
      </w:r>
      <w:r>
        <w:rPr>
          <w:rFonts w:ascii="Times New Roman"/>
          <w:b w:val="false"/>
          <w:i w:val="false"/>
          <w:color w:val="000000"/>
          <w:sz w:val="28"/>
        </w:rPr>
        <w:t>
спорта и ветеринарии, прибывшим</w:t>
      </w:r>
      <w:r>
        <w:br/>
      </w:r>
      <w:r>
        <w:rPr>
          <w:rFonts w:ascii="Times New Roman"/>
          <w:b w:val="false"/>
          <w:i w:val="false"/>
          <w:color w:val="000000"/>
          <w:sz w:val="28"/>
        </w:rPr>
        <w:t>
для работы и проживания в сельские</w:t>
      </w:r>
      <w:r>
        <w:br/>
      </w:r>
      <w:r>
        <w:rPr>
          <w:rFonts w:ascii="Times New Roman"/>
          <w:b w:val="false"/>
          <w:i w:val="false"/>
          <w:color w:val="000000"/>
          <w:sz w:val="28"/>
        </w:rPr>
        <w:t>
населенные пункты"</w:t>
      </w:r>
    </w:p>
    <w:bookmarkEnd w:id="14"/>
    <w:bookmarkStart w:name="z36" w:id="15"/>
    <w:p>
      <w:pPr>
        <w:spacing w:after="0"/>
        <w:ind w:left="0"/>
        <w:jc w:val="left"/>
      </w:pPr>
      <w:r>
        <w:rPr>
          <w:rFonts w:ascii="Times New Roman"/>
          <w:b/>
          <w:i w:val="false"/>
          <w:color w:val="000000"/>
        </w:rPr>
        <w:t xml:space="preserve"> 
Процесс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w:t>
      </w:r>
    </w:p>
    <w:bookmarkEnd w:id="15"/>
    <w:p>
      <w:pPr>
        <w:spacing w:after="0"/>
        <w:ind w:left="0"/>
        <w:jc w:val="both"/>
      </w:pPr>
      <w:r>
        <w:drawing>
          <wp:inline distT="0" distB="0" distL="0" distR="0">
            <wp:extent cx="82677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67700" cy="862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