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8031" w14:textId="0708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23 августа 2012 года N 225. Зарегистрировано Департаментом юстиции Карагандинской области 21 сентября 2012 года N 1942. Утратило силу постановлением акимата Каркаралинского района Карагандинской области от 18 декабря 2013 года N 377</w:t>
      </w:r>
    </w:p>
    <w:p>
      <w:pPr>
        <w:spacing w:after="0"/>
        <w:ind w:left="0"/>
        <w:jc w:val="both"/>
      </w:pPr>
      <w:r>
        <w:rPr>
          <w:rFonts w:ascii="Times New Roman"/>
          <w:b w:val="false"/>
          <w:i w:val="false"/>
          <w:color w:val="ff0000"/>
          <w:sz w:val="28"/>
        </w:rPr>
        <w:t>      Сноска. Утратило силу постановлением акимата Каркаралинского района Карагандинской области от 18.12.2013 N 377.</w:t>
      </w:r>
    </w:p>
    <w:bookmarkStart w:name="z1" w:id="0"/>
    <w:p>
      <w:pPr>
        <w:spacing w:after="0"/>
        <w:ind w:left="0"/>
        <w:jc w:val="both"/>
      </w:pPr>
      <w:r>
        <w:rPr>
          <w:rFonts w:ascii="Times New Roman"/>
          <w:b w:val="false"/>
          <w:i w:val="false"/>
          <w:color w:val="000000"/>
          <w:sz w:val="28"/>
        </w:rPr>
        <w:t>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акимат Каркаралинского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Руководителю аппарата акима Каркаралинского района А. Сатыбалдину обеспечить государственную регистрацию в органах юстиции и официальное опубликование настоящего постановления.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С. Әлиұлы.</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 акима</w:t>
      </w:r>
      <w:r>
        <w:br/>
      </w:r>
      <w:r>
        <w:rPr>
          <w:rFonts w:ascii="Times New Roman"/>
          <w:b w:val="false"/>
          <w:i w:val="false"/>
          <w:color w:val="000000"/>
          <w:sz w:val="28"/>
        </w:rPr>
        <w:t>
</w:t>
      </w:r>
      <w:r>
        <w:rPr>
          <w:rFonts w:ascii="Times New Roman"/>
          <w:b w:val="false"/>
          <w:i/>
          <w:color w:val="000000"/>
          <w:sz w:val="28"/>
        </w:rPr>
        <w:t>      Каркаралинского района                     С. Акимов</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Каркаралинского района</w:t>
      </w:r>
      <w:r>
        <w:br/>
      </w:r>
      <w:r>
        <w:rPr>
          <w:rFonts w:ascii="Times New Roman"/>
          <w:b w:val="false"/>
          <w:i w:val="false"/>
          <w:color w:val="000000"/>
          <w:sz w:val="28"/>
        </w:rPr>
        <w:t>
от 23 августа 2012 года</w:t>
      </w:r>
      <w:r>
        <w:br/>
      </w:r>
      <w:r>
        <w:rPr>
          <w:rFonts w:ascii="Times New Roman"/>
          <w:b w:val="false"/>
          <w:i w:val="false"/>
          <w:color w:val="000000"/>
          <w:sz w:val="28"/>
        </w:rPr>
        <w:t>
N 225</w:t>
      </w:r>
    </w:p>
    <w:bookmarkEnd w:id="1"/>
    <w:bookmarkStart w:name="z7"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Настоящий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предоставляет районный уполномоченный орган.</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N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участия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7. В Регламенте используются следующие основные понятия:</w:t>
      </w:r>
      <w:r>
        <w:br/>
      </w:r>
      <w:r>
        <w:rPr>
          <w:rFonts w:ascii="Times New Roman"/>
          <w:b w:val="false"/>
          <w:i w:val="false"/>
          <w:color w:val="000000"/>
          <w:sz w:val="28"/>
        </w:rPr>
        <w:t>
      1) уполномоченный орган - государственный орган по развитию сельских территорий района;</w:t>
      </w:r>
      <w:r>
        <w:br/>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3)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4) бюджетный кредит - мера социальной поддержки потребителей в виде бюджетного кредита на приобретение или строительства жилья в размере, установленного Постановлением;</w:t>
      </w:r>
      <w:r>
        <w:br/>
      </w:r>
      <w:r>
        <w:rPr>
          <w:rFonts w:ascii="Times New Roman"/>
          <w:b w:val="false"/>
          <w:i w:val="false"/>
          <w:color w:val="000000"/>
          <w:sz w:val="28"/>
        </w:rPr>
        <w:t>
      5) постоянно действующая комиссия - коллегиальный орган, создаваемый акиматом района для организации работы по оказанию мер социальной поддержки потребителям, состоящий из депутатов районного маслихата, представителей исполнительных органов района и общественных организаций;</w:t>
      </w:r>
      <w:r>
        <w:br/>
      </w:r>
      <w:r>
        <w:rPr>
          <w:rFonts w:ascii="Times New Roman"/>
          <w:b w:val="false"/>
          <w:i w:val="false"/>
          <w:color w:val="000000"/>
          <w:sz w:val="28"/>
        </w:rPr>
        <w:t>
      6) поверенный (агент) - финансовое агентство, выполняющее от имени и по поручению акима района функции по обслуживанию бюджетных кредитов, предоставляемых потребителям.</w:t>
      </w:r>
    </w:p>
    <w:bookmarkEnd w:id="4"/>
    <w:bookmarkStart w:name="z16" w:id="5"/>
    <w:p>
      <w:pPr>
        <w:spacing w:after="0"/>
        <w:ind w:left="0"/>
        <w:jc w:val="left"/>
      </w:pPr>
      <w:r>
        <w:rPr>
          <w:rFonts w:ascii="Times New Roman"/>
          <w:b/>
          <w:i w:val="false"/>
          <w:color w:val="000000"/>
        </w:rPr>
        <w:t xml:space="preserve"> 
2. Требования оказания государственной услуги</w:t>
      </w:r>
    </w:p>
    <w:bookmarkEnd w:id="5"/>
    <w:bookmarkStart w:name="z17" w:id="6"/>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потребители могут получить в интернет-ресурсе аппарата Акима Каркаралинского района karkarly.kz.,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Государственная услуга предоставляется в следующие сроки с момента сдачи потребителем документов:</w:t>
      </w:r>
      <w:r>
        <w:br/>
      </w:r>
      <w:r>
        <w:rPr>
          <w:rFonts w:ascii="Times New Roman"/>
          <w:b w:val="false"/>
          <w:i w:val="false"/>
          <w:color w:val="000000"/>
          <w:sz w:val="28"/>
        </w:rPr>
        <w:t>
      в течение 32 календарных дней осуществляется процедура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в течение 7 календарных дней после заключения соглашения производится выплата подъемного пособия путем зачисления средств на лицевые счета потребителей в банках второго уровня;</w:t>
      </w:r>
      <w:r>
        <w:br/>
      </w:r>
      <w:r>
        <w:rPr>
          <w:rFonts w:ascii="Times New Roman"/>
          <w:b w:val="false"/>
          <w:i w:val="false"/>
          <w:color w:val="000000"/>
          <w:sz w:val="28"/>
        </w:rPr>
        <w:t>
      в течение 30 календарных дней после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после принятия решения постоянно действующей комиссии, направляет потребителю мотивированный ответ.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6"/>
    <w:bookmarkStart w:name="z23"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4" w:id="8"/>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w:t>
      </w:r>
      <w:r>
        <w:br/>
      </w:r>
      <w:r>
        <w:rPr>
          <w:rFonts w:ascii="Times New Roman"/>
          <w:b w:val="false"/>
          <w:i w:val="false"/>
          <w:color w:val="000000"/>
          <w:sz w:val="28"/>
        </w:rPr>
        <w:t>
      4) руководитель аппарата акима района;</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30"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 и</w:t>
      </w:r>
      <w:r>
        <w:br/>
      </w:r>
      <w:r>
        <w:rPr>
          <w:rFonts w:ascii="Times New Roman"/>
          <w:b w:val="false"/>
          <w:i w:val="false"/>
          <w:color w:val="000000"/>
          <w:sz w:val="28"/>
        </w:rPr>
        <w:t>
проживания в сельские населенные пункты"</w:t>
      </w:r>
    </w:p>
    <w:bookmarkEnd w:id="9"/>
    <w:bookmarkStart w:name="z31" w:id="1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0"/>
    <w:bookmarkStart w:name="z32" w:id="11"/>
    <w:p>
      <w:pPr>
        <w:spacing w:after="0"/>
        <w:ind w:left="0"/>
        <w:jc w:val="both"/>
      </w:pPr>
      <w:r>
        <w:rPr>
          <w:rFonts w:ascii="Times New Roman"/>
          <w:b w:val="false"/>
          <w:i w:val="false"/>
          <w:color w:val="000000"/>
          <w:sz w:val="28"/>
        </w:rPr>
        <w:t>
</w:t>
      </w:r>
      <w:r>
        <w:rPr>
          <w:rFonts w:ascii="Times New Roman"/>
          <w:b/>
          <w:i w:val="false"/>
          <w:color w:val="000000"/>
          <w:sz w:val="28"/>
        </w:rPr>
        <w:t>      Таблица 1. Описание действий структурно-функциональных единиц (далее – СФЕ)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853"/>
        <w:gridCol w:w="1813"/>
        <w:gridCol w:w="1933"/>
        <w:gridCol w:w="1573"/>
        <w:gridCol w:w="1773"/>
        <w:gridCol w:w="789"/>
        <w:gridCol w:w="1833"/>
      </w:tblGrid>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(хода, потока работ)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поддержке или в их отказе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(хода, потока работ)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Основной процесс – в случае утверждения решения о предоставлении мер социальной поддержки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764"/>
        <w:gridCol w:w="2239"/>
        <w:gridCol w:w="2407"/>
        <w:gridCol w:w="2071"/>
        <w:gridCol w:w="21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19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дней)</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Разрабатывает и согласовывает проект постановления акимата (7 дней)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Вносит проект постановления в повестку дня заседания акимата (3 дня)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Подготавливает проект Соглашения и вносит на подписание (4 дня)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Вносит проект Соглашения на подписание (1 день)</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Подписывает Соглашение (1 день)</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Подписывает Соглашение (1 день)</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Перечисляет сумму подъемного пособия на лицевые счета потребителей (7 дней)</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 Осуществляет процедуру оформления бюджетного кредита для приобретения жилья. (28 дней)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 Осуществляет перечисление средств бюджетного кредита за приобретенное жилье (2 дня)</w:t>
            </w:r>
          </w:p>
        </w:tc>
      </w:tr>
    </w:tbl>
    <w:bookmarkStart w:name="z34" w:id="13"/>
    <w:p>
      <w:pPr>
        <w:spacing w:after="0"/>
        <w:ind w:left="0"/>
        <w:jc w:val="both"/>
      </w:pPr>
      <w:r>
        <w:rPr>
          <w:rFonts w:ascii="Times New Roman"/>
          <w:b w:val="false"/>
          <w:i w:val="false"/>
          <w:color w:val="000000"/>
          <w:sz w:val="28"/>
        </w:rPr>
        <w:t>
      </w:t>
      </w:r>
      <w:r>
        <w:rPr>
          <w:rFonts w:ascii="Times New Roman"/>
          <w:b/>
          <w:i w:val="false"/>
          <w:color w:val="000000"/>
          <w:sz w:val="28"/>
        </w:rPr>
        <w:t>Таблица 3. Варианты использования. Альтернативный процесс – в случае утверждения решения об отказе в предоставлении мер социальной поддержки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5"/>
        <w:gridCol w:w="5876"/>
        <w:gridCol w:w="272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60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 (30 мин)</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 (5 дней)</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 предоставлении недостоверных документов, на основании решения постоянно действующей комиссии направляет потребителю письменный отказ с указанием причин (3 дня)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 и</w:t>
      </w:r>
      <w:r>
        <w:br/>
      </w:r>
      <w:r>
        <w:rPr>
          <w:rFonts w:ascii="Times New Roman"/>
          <w:b w:val="false"/>
          <w:i w:val="false"/>
          <w:color w:val="000000"/>
          <w:sz w:val="28"/>
        </w:rPr>
        <w:t>
проживания в сельские населенные пункты"</w:t>
      </w:r>
    </w:p>
    <w:bookmarkEnd w:id="14"/>
    <w:bookmarkStart w:name="z36" w:id="15"/>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15"/>
    <w:p>
      <w:pPr>
        <w:spacing w:after="0"/>
        <w:ind w:left="0"/>
        <w:jc w:val="both"/>
      </w:pPr>
      <w:r>
        <w:drawing>
          <wp:inline distT="0" distB="0" distL="0" distR="0">
            <wp:extent cx="87503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829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