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2acf" w14:textId="a7a2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21 ноября 2012 года N 29/01. Зарегистрировано Департаментом юстиции Карагандинской области 26 ноября 2012 года N 1990. Утратило силу постановлением акимата Нуринского района Карагандинской области от 6 мая 2013 года N 12/02</w:t>
      </w:r>
    </w:p>
    <w:p>
      <w:pPr>
        <w:spacing w:after="0"/>
        <w:ind w:left="0"/>
        <w:jc w:val="both"/>
      </w:pPr>
      <w:r>
        <w:rPr>
          <w:rFonts w:ascii="Times New Roman"/>
          <w:b w:val="false"/>
          <w:i w:val="false"/>
          <w:color w:val="ff0000"/>
          <w:sz w:val="28"/>
        </w:rPr>
        <w:t>      Сноска. Утратило силу постановлением акимата Нуринского района Карагандинской области от 06.05.2013 N 12/02.</w:t>
      </w:r>
    </w:p>
    <w:bookmarkStart w:name="z1"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Руководителю аппарата акима Нуринского района Мукановой Салтанат Аккошкаровне обеспечить государственную регистрацию в органах юстиции и официальное опубликование настоящего постановления.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Аймагамбетова Асхата Канатовича.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Д. Бекмагамбетов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Нуринского района</w:t>
      </w:r>
      <w:r>
        <w:br/>
      </w:r>
      <w:r>
        <w:rPr>
          <w:rFonts w:ascii="Times New Roman"/>
          <w:b w:val="false"/>
          <w:i w:val="false"/>
          <w:color w:val="000000"/>
          <w:sz w:val="28"/>
        </w:rPr>
        <w:t>
от 21 ноября 2012 года № 29/01</w:t>
      </w:r>
    </w:p>
    <w:bookmarkEnd w:id="1"/>
    <w:bookmarkStart w:name="z7"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районный уполномоченный орган.</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7. В Регламенте используются следующие основные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или строительства жилья в размере, установленного Постановлением;</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3)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4)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уполномоченный орган - государственный орган по развитию сельских территорий района.</w:t>
      </w:r>
    </w:p>
    <w:bookmarkEnd w:id="4"/>
    <w:bookmarkStart w:name="z16"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17"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аппарата Акима Нуринского района nurinsk.kz,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в течение 32 календарных дней осуществляется процедура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в течение 7 календарных дней после заключения соглашения производится выплата подъемного пособия путем зачисления средств на лицевые счета потребителей в банках второго уровня;</w:t>
      </w:r>
      <w:r>
        <w:br/>
      </w:r>
      <w:r>
        <w:rPr>
          <w:rFonts w:ascii="Times New Roman"/>
          <w:b w:val="false"/>
          <w:i w:val="false"/>
          <w:color w:val="000000"/>
          <w:sz w:val="28"/>
        </w:rPr>
        <w:t>
      в течение 30 календарных дней после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после принятия решения постоянно действующей комиссии,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23" w:id="7"/>
    <w:p>
      <w:pPr>
        <w:spacing w:after="0"/>
        <w:ind w:left="0"/>
        <w:jc w:val="left"/>
      </w:pPr>
      <w:r>
        <w:rPr>
          <w:rFonts w:ascii="Times New Roman"/>
          <w:b/>
          <w:i w:val="false"/>
          <w:color w:val="000000"/>
        </w:rPr>
        <w:t xml:space="preserve"> 
3. Описание порядка действий (взаимодействия) в процессе</w:t>
      </w:r>
      <w:r>
        <w:br/>
      </w:r>
      <w:r>
        <w:rPr>
          <w:rFonts w:ascii="Times New Roman"/>
          <w:b/>
          <w:i w:val="false"/>
          <w:color w:val="000000"/>
        </w:rPr>
        <w:t>
оказания государственной услуги</w:t>
      </w:r>
    </w:p>
    <w:bookmarkEnd w:id="7"/>
    <w:bookmarkStart w:name="z24"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3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9"/>
    <w:bookmarkStart w:name="z31" w:id="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0"/>
    <w:bookmarkStart w:name="z32" w:id="11"/>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998"/>
        <w:gridCol w:w="1890"/>
        <w:gridCol w:w="1977"/>
        <w:gridCol w:w="1912"/>
        <w:gridCol w:w="1956"/>
        <w:gridCol w:w="1978"/>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99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(хода, потока работ)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33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255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поддержке или в их отказе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5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76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76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(хода, потока работ)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Таблица 2. Варианты использования. Основной процесс – в случае утверждения решения о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723"/>
        <w:gridCol w:w="2062"/>
        <w:gridCol w:w="2212"/>
        <w:gridCol w:w="2468"/>
        <w:gridCol w:w="229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76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4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дней)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Разрабатывает и согласовывает проект постановления акимата (7 дней)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Вносит проект постановления в повестку дня заседания акимата (3 дня)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Подготавливает проект Соглашения и вносит на подписание (4 дня)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Вносит проект Соглашения на подписание (1 день)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Подписывает Соглашение (1 день)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Подписывает Соглашение (1 день)</w:t>
            </w:r>
          </w:p>
        </w:tc>
      </w:tr>
      <w:tr>
        <w:trPr>
          <w:trHeight w:val="175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Перечисляет сумму подъемного пособия на лицевые счета потребителей (7 дней)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Осуществляет процедуру оформления бюджетного кредита для приобретения жилья. (28 дней)</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 Осуществляет перечисление средств бюджетного кредита за приобретенное жилье (2 дня)</w:t>
            </w:r>
          </w:p>
        </w:tc>
      </w:tr>
    </w:tbl>
    <w:bookmarkStart w:name="z34" w:id="13"/>
    <w:p>
      <w:pPr>
        <w:spacing w:after="0"/>
        <w:ind w:left="0"/>
        <w:jc w:val="both"/>
      </w:pPr>
      <w:r>
        <w:rPr>
          <w:rFonts w:ascii="Times New Roman"/>
          <w:b w:val="false"/>
          <w:i w:val="false"/>
          <w:color w:val="000000"/>
          <w:sz w:val="28"/>
        </w:rPr>
        <w:t>
      Таблица 3. Варианты использования. Альтернативный процесс – в случае утверждения решения об отказе в предоставлении мер социальной поддержки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7686"/>
      </w:tblGrid>
      <w:tr>
        <w:trPr>
          <w:trHeight w:val="60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(30 мин)</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 (3 дня)</w:t>
            </w:r>
          </w:p>
        </w:tc>
      </w:tr>
    </w:tbl>
    <w:bookmarkStart w:name="z35"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14"/>
    <w:bookmarkStart w:name="z36" w:id="15"/>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15"/>
    <w:p>
      <w:pPr>
        <w:spacing w:after="0"/>
        <w:ind w:left="0"/>
        <w:jc w:val="both"/>
      </w:pPr>
      <w:r>
        <w:drawing>
          <wp:inline distT="0" distB="0" distL="0" distR="0">
            <wp:extent cx="81026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02600" cy="816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