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336b" w14:textId="ecb3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Мангистауской области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25 мая 2012 года № 4/34. Зарегистрировано Департаментом юстиции Мангистауской области 25 июня 2012 года № 2135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«Об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перечень социально значимых убыточных маршрутов, подлежащих субсидированию, в Мангистауской области на 2012 год 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по истечении десяти календарных дней после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 Секретарь                                           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 Абжаппаров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«Управление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Мактанов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май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2012 года № 4/34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социально значимых убыточных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маршрутов, подлежащих субсидированию, </w:t>
      </w:r>
      <w:r>
        <w:br/>
      </w:r>
      <w:r>
        <w:rPr>
          <w:rFonts w:ascii="Times New Roman"/>
          <w:b/>
          <w:i w:val="false"/>
          <w:color w:val="000000"/>
        </w:rPr>
        <w:t>
в Мангистауской области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Маршрут «Актау – Жетыбай – Актау»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Маршрут «Актау – Курык – Актау»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Маршрут «Актау – Форт -Шевченко – Актау»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