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0ca3" w14:textId="7780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зонирования и поправочных коэффициентов на базовые налоговые ставки в целях налогообложения по городу Форт-Шевченко и селу Баутино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12 сентября 2012 года № 7/46. Зарегистрировано Департаментом юстиции Мангистауской области 03 октября 2012 года № 2164. Утратило силу решением Тупкараганского районного маслихата Мангистауской области от 17 марта 2017 года № 10/88</w:t>
      </w:r>
    </w:p>
    <w:p>
      <w:pPr>
        <w:spacing w:after="0"/>
        <w:ind w:left="0"/>
        <w:jc w:val="left"/>
      </w:pPr>
      <w:r>
        <w:rPr>
          <w:rFonts w:ascii="Times New Roman"/>
          <w:b w:val="false"/>
          <w:i w:val="false"/>
          <w:color w:val="ff0000"/>
          <w:sz w:val="28"/>
        </w:rPr>
        <w:t xml:space="preserve">      Сноска. Утратило силу решением Тупкараганского районного маслихата Мангистауской области от 17.03.2017 </w:t>
      </w:r>
      <w:r>
        <w:rPr>
          <w:rFonts w:ascii="Times New Roman"/>
          <w:b w:val="false"/>
          <w:i w:val="false"/>
          <w:color w:val="ff0000"/>
          <w:sz w:val="28"/>
        </w:rPr>
        <w:t>№ 10/88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В заголовке слово "поселку" заменено словом "селу", - решением Тупкараганского районного маслихата Мангистауской области от 29.10.2015 </w:t>
      </w:r>
      <w:r>
        <w:rPr>
          <w:rFonts w:ascii="Times New Roman"/>
          <w:b w:val="false"/>
          <w:i w:val="false"/>
          <w:color w:val="ff0000"/>
          <w:sz w:val="28"/>
        </w:rPr>
        <w:t>№ 34/233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w:t>
      </w:r>
      <w:r>
        <w:rPr>
          <w:rFonts w:ascii="Times New Roman"/>
          <w:b w:val="false"/>
          <w:i w:val="false"/>
          <w:color w:val="000000"/>
          <w:sz w:val="28"/>
        </w:rPr>
        <w:t>статьи 8</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Земельного Кодекса Республики Казахстан от 20 июня 2003 года № 442, </w:t>
      </w:r>
      <w:r>
        <w:rPr>
          <w:rFonts w:ascii="Times New Roman"/>
          <w:b w:val="false"/>
          <w:i w:val="false"/>
          <w:color w:val="000000"/>
          <w:sz w:val="28"/>
        </w:rPr>
        <w:t>статьи 387</w:t>
      </w:r>
      <w:r>
        <w:rPr>
          <w:rFonts w:ascii="Times New Roman"/>
          <w:b w:val="false"/>
          <w:i w:val="false"/>
          <w:color w:val="000000"/>
          <w:sz w:val="28"/>
        </w:rPr>
        <w:t xml:space="preserve"> Кодекса Республики Казахстан от 10 декабря 2008 года № 99-IV "О налогах и других обязательных платежах в бюджет" и </w:t>
      </w:r>
      <w:r>
        <w:rPr>
          <w:rFonts w:ascii="Times New Roman"/>
          <w:b w:val="false"/>
          <w:i w:val="false"/>
          <w:color w:val="000000"/>
          <w:sz w:val="28"/>
        </w:rPr>
        <w:t>подпункта 13)</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схем зонирования и поправочные коэффициенты на базовые налоговые ставки в целях налогообложения по городу Форт-Шевченко и селу Баутино,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Тупкараганского районного маслихата Мангистауской области от 29.10.2015 </w:t>
      </w:r>
      <w:r>
        <w:rPr>
          <w:rFonts w:ascii="Times New Roman"/>
          <w:b w:val="false"/>
          <w:i w:val="false"/>
          <w:color w:val="ff0000"/>
          <w:sz w:val="28"/>
        </w:rPr>
        <w:t>№ 34/233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Тупкараганского районного маслихата Мангистауской области от 29.10.2015 </w:t>
      </w:r>
      <w:r>
        <w:rPr>
          <w:rFonts w:ascii="Times New Roman"/>
          <w:b w:val="false"/>
          <w:i w:val="false"/>
          <w:color w:val="ff0000"/>
          <w:sz w:val="28"/>
        </w:rPr>
        <w:t>№ 34/233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Тасболатов</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районного</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маслихата</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А.Досанова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Начальник государственного </w:t>
      </w:r>
      <w:r>
        <w:br/>
      </w:r>
      <w:r>
        <w:rPr>
          <w:rFonts w:ascii="Times New Roman"/>
          <w:b w:val="false"/>
          <w:i w:val="false"/>
          <w:color w:val="000000"/>
          <w:sz w:val="28"/>
        </w:rPr>
        <w:t xml:space="preserve">
      учреждения "Налоговое управление </w:t>
      </w:r>
      <w:r>
        <w:br/>
      </w:r>
      <w:r>
        <w:rPr>
          <w:rFonts w:ascii="Times New Roman"/>
          <w:b w:val="false"/>
          <w:i w:val="false"/>
          <w:color w:val="000000"/>
          <w:sz w:val="28"/>
        </w:rPr>
        <w:t xml:space="preserve">
      по Тупкараганскому району" </w:t>
      </w:r>
      <w:r>
        <w:br/>
      </w:r>
      <w:r>
        <w:rPr>
          <w:rFonts w:ascii="Times New Roman"/>
          <w:b w:val="false"/>
          <w:i w:val="false"/>
          <w:color w:val="000000"/>
          <w:sz w:val="28"/>
        </w:rPr>
        <w:t xml:space="preserve">
      Ж. Утепбергенова </w:t>
      </w:r>
      <w:r>
        <w:br/>
      </w:r>
      <w:r>
        <w:rPr>
          <w:rFonts w:ascii="Times New Roman"/>
          <w:b w:val="false"/>
          <w:i w:val="false"/>
          <w:color w:val="000000"/>
          <w:sz w:val="28"/>
        </w:rPr>
        <w:t>
      12 сентября 2012 года</w:t>
      </w:r>
      <w:r>
        <w:br/>
      </w:r>
      <w:r>
        <w:rPr>
          <w:rFonts w:ascii="Times New Roman"/>
          <w:b w:val="false"/>
          <w:i w:val="false"/>
          <w:color w:val="000000"/>
          <w:sz w:val="28"/>
        </w:rPr>
        <w:t xml:space="preserve">
      Начальник государственного </w:t>
      </w:r>
      <w:r>
        <w:br/>
      </w:r>
      <w:r>
        <w:rPr>
          <w:rFonts w:ascii="Times New Roman"/>
          <w:b w:val="false"/>
          <w:i w:val="false"/>
          <w:color w:val="000000"/>
          <w:sz w:val="28"/>
        </w:rPr>
        <w:t xml:space="preserve">
      учреждения "Тупкараганский </w:t>
      </w:r>
      <w:r>
        <w:br/>
      </w:r>
      <w:r>
        <w:rPr>
          <w:rFonts w:ascii="Times New Roman"/>
          <w:b w:val="false"/>
          <w:i w:val="false"/>
          <w:color w:val="000000"/>
          <w:sz w:val="28"/>
        </w:rPr>
        <w:t xml:space="preserve">
      районный отдел земельных </w:t>
      </w:r>
      <w:r>
        <w:br/>
      </w:r>
      <w:r>
        <w:rPr>
          <w:rFonts w:ascii="Times New Roman"/>
          <w:b w:val="false"/>
          <w:i w:val="false"/>
          <w:color w:val="000000"/>
          <w:sz w:val="28"/>
        </w:rPr>
        <w:t xml:space="preserve">
      отношении" </w:t>
      </w:r>
      <w:r>
        <w:br/>
      </w:r>
      <w:r>
        <w:rPr>
          <w:rFonts w:ascii="Times New Roman"/>
          <w:b w:val="false"/>
          <w:i w:val="false"/>
          <w:color w:val="000000"/>
          <w:sz w:val="28"/>
        </w:rPr>
        <w:t xml:space="preserve">
      М. Досжанов </w:t>
      </w:r>
      <w:r>
        <w:br/>
      </w:r>
      <w:r>
        <w:rPr>
          <w:rFonts w:ascii="Times New Roman"/>
          <w:b w:val="false"/>
          <w:i w:val="false"/>
          <w:color w:val="000000"/>
          <w:sz w:val="28"/>
        </w:rPr>
        <w:t>
      12 сентября 2012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 7/46 от 12 сентября 2012 года</w:t>
            </w:r>
          </w:p>
        </w:tc>
      </w:tr>
    </w:tbl>
    <w:bookmarkStart w:name="z5" w:id="0"/>
    <w:p>
      <w:pPr>
        <w:spacing w:after="0"/>
        <w:ind w:left="0"/>
        <w:jc w:val="left"/>
      </w:pPr>
      <w:r>
        <w:rPr>
          <w:rFonts w:ascii="Times New Roman"/>
          <w:b/>
          <w:i w:val="false"/>
          <w:color w:val="000000"/>
        </w:rPr>
        <w:t xml:space="preserve"> Схема зонирования в целях налогообложения по городу Форт-Шевченко и селу Баутино</w:t>
      </w:r>
      <w:r>
        <w:br/>
      </w:r>
      <w:r>
        <w:rPr>
          <w:rFonts w:ascii="Times New Roman"/>
          <w:b/>
          <w:i w:val="false"/>
          <w:color w:val="000000"/>
        </w:rPr>
        <w:t>масштаб 1:150 000</w:t>
      </w:r>
    </w:p>
    <w:bookmarkEnd w:id="0"/>
    <w:p>
      <w:pPr>
        <w:spacing w:after="0"/>
        <w:ind w:left="0"/>
        <w:jc w:val="left"/>
      </w:pPr>
      <w:r>
        <w:rPr>
          <w:rFonts w:ascii="Times New Roman"/>
          <w:b w:val="false"/>
          <w:i w:val="false"/>
          <w:color w:val="ff0000"/>
          <w:sz w:val="28"/>
        </w:rPr>
        <w:t xml:space="preserve">      Сноска.В приложении 1 слова "поселку", "поселок", "поселке" заменены словами "селу", "село", "селе", - решением Тупкараганского районного маслихата Мангистауской области от 29.10.2015 </w:t>
      </w:r>
      <w:r>
        <w:rPr>
          <w:rFonts w:ascii="Times New Roman"/>
          <w:b w:val="false"/>
          <w:i w:val="false"/>
          <w:color w:val="ff0000"/>
          <w:sz w:val="28"/>
        </w:rPr>
        <w:t>№ 34/233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(см бумажный вариант)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 7/46 от 12 сентября 2012 года</w:t>
            </w:r>
          </w:p>
        </w:tc>
      </w:tr>
    </w:tbl>
    <w:bookmarkStart w:name="z7" w:id="1"/>
    <w:p>
      <w:pPr>
        <w:spacing w:after="0"/>
        <w:ind w:left="0"/>
        <w:jc w:val="left"/>
      </w:pPr>
      <w:r>
        <w:rPr>
          <w:rFonts w:ascii="Times New Roman"/>
          <w:b/>
          <w:i w:val="false"/>
          <w:color w:val="000000"/>
        </w:rPr>
        <w:t xml:space="preserve"> Поправочные коэффициенты на базовые налоговые ставки по городу Форт-Шевченко и селу Баутино</w:t>
      </w:r>
    </w:p>
    <w:bookmarkEnd w:id="1"/>
    <w:p>
      <w:pPr>
        <w:spacing w:after="0"/>
        <w:ind w:left="0"/>
        <w:jc w:val="left"/>
      </w:pPr>
      <w:r>
        <w:rPr>
          <w:rFonts w:ascii="Times New Roman"/>
          <w:b w:val="false"/>
          <w:i w:val="false"/>
          <w:color w:val="ff0000"/>
          <w:sz w:val="28"/>
        </w:rPr>
        <w:t xml:space="preserve">      Сноска.В приложении 2 слова "поселку", "поселок", "поселке" заменены словами "селу", "село", "селе", - решением Тупкараганского районного маслихата Мангистауской области от 29.10.2015 </w:t>
      </w:r>
      <w:r>
        <w:rPr>
          <w:rFonts w:ascii="Times New Roman"/>
          <w:b w:val="false"/>
          <w:i w:val="false"/>
          <w:color w:val="ff0000"/>
          <w:sz w:val="28"/>
        </w:rPr>
        <w:t>№ 34/233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7818"/>
        <w:gridCol w:w="1928"/>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Зоны </w:t>
            </w: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Территориальные административные единицы</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Поправочные коэффициенты</w:t>
            </w: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Побережье моря, село Баутино, населенный пункт Аташ</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Промышленные земли</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Селитебная зона (центр города Форт-Шевченко)</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Селитебная зона (новые строения города Форт-Шевченко)</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Полоса вдоль дороги ( автомобильные дороги районного значения ) на обе стороны по 100 метр</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Резервная зона-1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w:t>
            </w: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Резервная зона-2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VIII</w:t>
            </w: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Резервная зона-3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bl>
    <w:bookmarkStart w:name="z8" w:id="2"/>
    <w:p>
      <w:pPr>
        <w:spacing w:after="0"/>
        <w:ind w:left="0"/>
        <w:jc w:val="left"/>
      </w:pPr>
      <w:r>
        <w:rPr>
          <w:rFonts w:ascii="Times New Roman"/>
          <w:b/>
          <w:i w:val="false"/>
          <w:color w:val="000000"/>
        </w:rPr>
        <w:t xml:space="preserve"> Описание зон</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I зона - побережье моря , село Баутино, населенный пункт Аташ. Ширина берега - 1 километр.</w:t>
      </w:r>
      <w:r>
        <w:br/>
      </w:r>
      <w:r>
        <w:rPr>
          <w:rFonts w:ascii="Times New Roman"/>
          <w:b w:val="false"/>
          <w:i w:val="false"/>
          <w:color w:val="000000"/>
          <w:sz w:val="28"/>
        </w:rPr>
        <w:t>
      Общественно-административные здания в селе Баутино снабжены автономными источниками тепла и воды. В поселке находятся две школы, филиал политехнического колледжа, поликлиника, детский сад, гостиницы, места общественного питания, спортивные площадки.</w:t>
      </w:r>
      <w:r>
        <w:br/>
      </w:r>
      <w:r>
        <w:rPr>
          <w:rFonts w:ascii="Times New Roman"/>
          <w:b w:val="false"/>
          <w:i w:val="false"/>
          <w:color w:val="000000"/>
          <w:sz w:val="28"/>
        </w:rPr>
        <w:t>
      </w:t>
      </w:r>
      <w:r>
        <w:rPr>
          <w:rFonts w:ascii="Times New Roman"/>
          <w:b w:val="false"/>
          <w:i w:val="false"/>
          <w:color w:val="000000"/>
          <w:sz w:val="28"/>
        </w:rPr>
        <w:t>II зона - промышленные земли</w:t>
      </w:r>
      <w:r>
        <w:br/>
      </w:r>
      <w:r>
        <w:rPr>
          <w:rFonts w:ascii="Times New Roman"/>
          <w:b w:val="false"/>
          <w:i w:val="false"/>
          <w:color w:val="000000"/>
          <w:sz w:val="28"/>
        </w:rPr>
        <w:t>
      </w:t>
      </w:r>
      <w:r>
        <w:rPr>
          <w:rFonts w:ascii="Times New Roman"/>
          <w:b w:val="false"/>
          <w:i w:val="false"/>
          <w:color w:val="000000"/>
          <w:sz w:val="28"/>
        </w:rPr>
        <w:t>III зона –селитебная зона, в центре города, туда входят улицы М.Абдихаликова, Жамбыла, Т.Алиева, Д.Таджиева, О.Турмаганбетулы, Ж.Мынбайулы, Т.Алниязулы, Н.Шымырова, Ж.Кызылбаева, Х.Бекжанова, С.Ургенишбайулы, И.Жанболатовой. В этой зоне расположены административные здания, средние школы, музыкальные школы, спортивные площадки, детские сады, молодежный центр, дом связи, библиотеки, поликлиника, больничный комплекс, мечеть, церковь, рынок, гостиницы, музейный комплекс, магазины, кафе, рестораны. Общественно -административные здания в городе Форт-Шевченко имеют автономные линии водо-теплоснабжения и канализации.</w:t>
      </w:r>
      <w:r>
        <w:br/>
      </w:r>
      <w:r>
        <w:rPr>
          <w:rFonts w:ascii="Times New Roman"/>
          <w:b w:val="false"/>
          <w:i w:val="false"/>
          <w:color w:val="000000"/>
          <w:sz w:val="28"/>
        </w:rPr>
        <w:t>
      </w:t>
      </w:r>
      <w:r>
        <w:rPr>
          <w:rFonts w:ascii="Times New Roman"/>
          <w:b w:val="false"/>
          <w:i w:val="false"/>
          <w:color w:val="000000"/>
          <w:sz w:val="28"/>
        </w:rPr>
        <w:t>IV зона- селитебная зона, состоит из вновь осваиваемых индивидуальных земельных участков на строительство.</w:t>
      </w:r>
      <w:r>
        <w:br/>
      </w:r>
      <w:r>
        <w:rPr>
          <w:rFonts w:ascii="Times New Roman"/>
          <w:b w:val="false"/>
          <w:i w:val="false"/>
          <w:color w:val="000000"/>
          <w:sz w:val="28"/>
        </w:rPr>
        <w:t>
      </w:t>
      </w:r>
      <w:r>
        <w:rPr>
          <w:rFonts w:ascii="Times New Roman"/>
          <w:b w:val="false"/>
          <w:i w:val="false"/>
          <w:color w:val="000000"/>
          <w:sz w:val="28"/>
        </w:rPr>
        <w:t>V зона - полоса вдоль автомобильных дорог районного значения , на обе стороны по 100 метров.</w:t>
      </w:r>
      <w:r>
        <w:br/>
      </w:r>
      <w:r>
        <w:rPr>
          <w:rFonts w:ascii="Times New Roman"/>
          <w:b w:val="false"/>
          <w:i w:val="false"/>
          <w:color w:val="000000"/>
          <w:sz w:val="28"/>
        </w:rPr>
        <w:t>
      </w:t>
      </w:r>
      <w:r>
        <w:rPr>
          <w:rFonts w:ascii="Times New Roman"/>
          <w:b w:val="false"/>
          <w:i w:val="false"/>
          <w:color w:val="000000"/>
          <w:sz w:val="28"/>
        </w:rPr>
        <w:t>VI зона - резервная зона-1.</w:t>
      </w:r>
      <w:r>
        <w:br/>
      </w:r>
      <w:r>
        <w:rPr>
          <w:rFonts w:ascii="Times New Roman"/>
          <w:b w:val="false"/>
          <w:i w:val="false"/>
          <w:color w:val="000000"/>
          <w:sz w:val="28"/>
        </w:rPr>
        <w:t>
      </w:t>
      </w:r>
      <w:r>
        <w:rPr>
          <w:rFonts w:ascii="Times New Roman"/>
          <w:b w:val="false"/>
          <w:i w:val="false"/>
          <w:color w:val="000000"/>
          <w:sz w:val="28"/>
        </w:rPr>
        <w:t>VII зона - резервная зона-2.</w:t>
      </w:r>
      <w:r>
        <w:br/>
      </w:r>
      <w:r>
        <w:rPr>
          <w:rFonts w:ascii="Times New Roman"/>
          <w:b w:val="false"/>
          <w:i w:val="false"/>
          <w:color w:val="000000"/>
          <w:sz w:val="28"/>
        </w:rPr>
        <w:t>
      </w:t>
      </w:r>
      <w:r>
        <w:rPr>
          <w:rFonts w:ascii="Times New Roman"/>
          <w:b w:val="false"/>
          <w:i w:val="false"/>
          <w:color w:val="000000"/>
          <w:sz w:val="28"/>
        </w:rPr>
        <w:t>VIII зона - резервная зона-3.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