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6974f" w14:textId="d6697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21 июня 2012 года № 287. Зарегистрировано Департаментом юстиции Костанайской области 26 июля 2012 года № 3819. Утратило силу - Постановлением акимата Костанайской области от 20 ноября 2013 года № 508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Костанайской области от 20.11.2013 № 508 (вводится в действие со дня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заключения о наличии культурной ценности у вывозимого и ввозимого предмета".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Н. Садуакасов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ГУ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культуры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К. Туякова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июня 2012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287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заключения о наличии культурной</w:t>
      </w:r>
      <w:r>
        <w:br/>
      </w:r>
      <w:r>
        <w:rPr>
          <w:rFonts w:ascii="Times New Roman"/>
          <w:b/>
          <w:i w:val="false"/>
          <w:color w:val="000000"/>
        </w:rPr>
        <w:t>
ценности у вывозимого и ввозимого предмета"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Основные понятия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структурные-функциональные единицы – это структурное подразделение управления, иные органы и информационные системы или их подсистемы, участвующие в процессе оказания государственной услуги по выдаче заключения о наличии культурной ценности у вывозимого и ввозимого предмета (далее -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культурные ценности - предметы культурного наследия светского и религиозного характера, а также иные ценности, имеющие историческое, художественное, научное или иное культурное значение.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государственной услуги "Выдача заключения о наличии культурной ценности у вывозимого и ввозимого предмета" (далее - Регламент) разработан в соответствии с постановлением Правительства Республики Казахстан от 24 сентября 2010 года </w:t>
      </w:r>
      <w:r>
        <w:rPr>
          <w:rFonts w:ascii="Times New Roman"/>
          <w:b w:val="false"/>
          <w:i w:val="false"/>
          <w:color w:val="000000"/>
          <w:sz w:val="28"/>
        </w:rPr>
        <w:t>№ 976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"Выдача заключения о наличии культурной ценности у вывозимого и ввозимого предмета".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государственным учреждением "Управление культуры акимата Костанайской области" (далее - управление).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физическим и юридическим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на основании постановления Правительства Республики Казахстан от 1 июня 2007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447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экспертизы культурных ценностей, вывозимых и ввозимых в Республику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Результатом оказываемой государственной услуги является выдача заключения о наличии у вывозимого предмета культурной ценности и о подлинности временно вывезенной культурной ценности (далее - заключение), либо мотивированный ответ об отказе в выдаче заключения.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здании управления ежедневно, в соответствии с графиком работы управления, указанным в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потребителя для оказания государственной услуги осуществляется в порядке очереди, без предварительной записи и ускоренного обслуживания одним лицом в течение рабочего дня на основании графика работы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Информация о государственной услуге и о ходе ее оказания размещается на портале электронного Правительства (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www.e.gov.kz</w:t>
      </w:r>
      <w:r>
        <w:rPr>
          <w:rFonts w:ascii="Times New Roman"/>
          <w:b w:val="false"/>
          <w:i w:val="false"/>
          <w:color w:val="000000"/>
          <w:sz w:val="28"/>
        </w:rPr>
        <w:t>), интернет-ресурсе управления (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www.kultura.kostanay.kz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составляют пять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заявителя, составляет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- 10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время ожидания при получении заключения – не более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Основанием для отказа в оказании государственной услуги является предоставление неполного пакета документов,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В случае отказа в выдаче заключения, потребителю дается мотивированный ответ в письменном виде в сроки, установленные для выдачи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Этапы оказания государственной услуги по выдаче заключения: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1-й этап - регистрация необходимых документов и предметов потребителя в службе документационного обеспечения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2-й этап - определение руководителем управления ответственного должностного лица (далее - исполнитель);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3-й этап - осуществление исполнителем проверки полноты документов, отправки документов и предметов на экспертизу в экспертную комиссию по вывозу и ввозу культурных ценностей (далее - экспертная комиссия), либо подготовка мотивированного отказа;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4-й этап - осуществление экспертной комиссией экспертизы в целях определения его на соответствие культурной ценности или подлинности временно вывезенной культурной ценности;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5-й этап - осуществление исполнителем организационных мероприятий по скреплению заключений печатью управления, а также выдачи одного экземпляра заключения и предметов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Процесс государственной услуги по выдаче заключения о наличии культурной ценности у вывозимого и ввозимого предмета и описание последовательности и взаимодействия административных действий (процедур)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Подтверждением сдачи документов и предметов является копия заявления потребителя со штампом регистрации (входящий номер, дата) службы документационного обеспечения управления.</w:t>
      </w:r>
    </w:p>
    <w:bookmarkEnd w:id="7"/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(взаимодействий)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Потребитель предоставляет в управление,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документы и предметы для получения государственной услуги, которые оформляются и регистрируются службой документационного обеспечения с указанием номера, даты и количества листов в регистрационном штампе, с указанием признаков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Потребитель (либо представитель по доверенности) представляет в управление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форме, утвержденной постановлением Правительства Республики Казахстан от 24 сентября 2010 года </w:t>
      </w:r>
      <w:r>
        <w:rPr>
          <w:rFonts w:ascii="Times New Roman"/>
          <w:b w:val="false"/>
          <w:i w:val="false"/>
          <w:color w:val="000000"/>
          <w:sz w:val="28"/>
        </w:rPr>
        <w:t>№ 976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"Выдача заключения о наличии культурной ценности у вывозимого и ввозимого предмета";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физического лица - копию документа, удостоверяющего личность потребителя, заверенную нотариально;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 - копию свидетельства о государственной регистрации (перерегистрации) юридического лица, заверенную нотариально;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договора принимающей стороны о целях и условиях нахождения культурных ценностей;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фотографию размером 10 x 15 сантиметров каждой культурной ценности или ее составляющих частей;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документы, подтверждающие право собственности на культурные ценности;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приказ руководителя организации о возложении ответственности на определенное лицо за сохранность культурных ценностей на период временного вывоза для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предметы, рассматриваемые как культурные ценности, подлежащие экспертизе.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Зарегистрированные, оформленные надлежащим образом документы и предметы передаются руководителю управления, которые в последующем передаются исполнителю. Исполнитель осуществляет проверку полноты документов, отправку документов и предметов на экспертизу. В случае неполного пакета документов готовит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проведения экспертизы определяется экспертной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итогам экспертизы оформляется заключение в двух экземплярах, каждое из которых заверяется подписью председателя экспертной комиссии и передается вместе с предметами исполнителю.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заключений и предметов, исполнитель скрепляет заключение печатью управления и один экземпляр вместе с предметом выдает потребителю (либо представителю по доверенности) при личном посещении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Второй экземпляр заключения, а также пакет рассмотренных документов остается в бессрочном хранении в экспертной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заключения и предметов потребителю регистрируется в журнале выданных заключений.</w:t>
      </w:r>
    </w:p>
    <w:bookmarkEnd w:id="9"/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Ответственность должностных лиц, оказывающих государственную услугу за принимаемые ими решения, действия (бездействия) в ходе оказания государственной услуги наступает в порядке, предусмотренном законами Республики Казахстан.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заключения о наличии культурной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ценности у вывозимого и ввозимого предмета"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работы государственного учреждения "Управление культуры акимата Костанайской области"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"/>
        <w:gridCol w:w="1997"/>
        <w:gridCol w:w="2182"/>
        <w:gridCol w:w="2243"/>
        <w:gridCol w:w="2243"/>
        <w:gridCol w:w="2756"/>
      </w:tblGrid>
      <w:tr>
        <w:trPr>
          <w:trHeight w:val="3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почты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57-53-20,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57-53-21,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54-35-55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kultura@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kostanay.kz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</w:tr>
    </w:tbl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заключения о наличии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культурной ценности у вывозимого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ввозимого предмета"  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251700" cy="360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517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заключения о наличии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культурной ценности у вывозимого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ввозимого предмета"       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Таблица 1. Описание последовательности и взаимодействия административных действий (процедур)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3"/>
        <w:gridCol w:w="1831"/>
        <w:gridCol w:w="1438"/>
        <w:gridCol w:w="1570"/>
        <w:gridCol w:w="1439"/>
        <w:gridCol w:w="170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описание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тизы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вывезен-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ценности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Скрепление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телю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телю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телю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</w:tr>
    </w:tbl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Таблица 2. Варианты использования. Основной процесс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9"/>
        <w:gridCol w:w="3046"/>
        <w:gridCol w:w="2517"/>
        <w:gridCol w:w="2121"/>
      </w:tblGrid>
      <w:tr>
        <w:trPr>
          <w:trHeight w:val="1095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</w:tr>
      <w:tr>
        <w:trPr>
          <w:trHeight w:val="2355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подлинности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вывезенной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ценности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Скрепление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потребителю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исполнителю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Таблица 3. Варианты использования. Альтернативный процесс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2"/>
        <w:gridCol w:w="4095"/>
        <w:gridCol w:w="2957"/>
      </w:tblGrid>
      <w:tr>
        <w:trPr>
          <w:trHeight w:val="1245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</w:tr>
      <w:tr>
        <w:trPr>
          <w:trHeight w:val="255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заявления,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руководству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исполнителя, 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ответа,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руководству</w:t>
            </w:r>
          </w:p>
        </w:tc>
      </w:tr>
      <w:tr>
        <w:trPr>
          <w:trHeight w:val="24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отказа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отказа,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потребителю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