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cfa2b2" w14:textId="1cfa2b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электронных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Костанайской области от 22 ноября 2012 года № 527. Зарегистрировано Департаментом юстиции Костанайской области 4 декабря 2012 года № 3910. Утратило силу - Постановлением акимата Костанайской области от 20 ноября 2013 года № 508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сохранена авторская орфография и пунктуация.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
      Сноска. Утратило силу - Постановлением акимата Костанайской области от 20.11.2013 № 508 (вводится в действие со дня подписания).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процедурах", 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29 Закона Республики Казахстан от 11 января 2007 года "Об информатизации" акимат Костанайской области</w:t>
      </w:r>
      <w:r>
        <w:rPr>
          <w:rFonts w:ascii="Times New Roman"/>
          <w:b/>
          <w:i w:val="false"/>
          <w:color w:val="000000"/>
          <w:sz w:val="28"/>
        </w:rPr>
        <w:t xml:space="preserve"> 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 электронных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"</w:t>
      </w:r>
      <w:r>
        <w:rPr>
          <w:rFonts w:ascii="Times New Roman"/>
          <w:b w:val="false"/>
          <w:i w:val="false"/>
          <w:color w:val="000000"/>
          <w:sz w:val="28"/>
        </w:rPr>
        <w:t>Постановка на очередь детей дошкольного возраста</w:t>
      </w:r>
      <w:r>
        <w:rPr>
          <w:rFonts w:ascii="Times New Roman"/>
          <w:b w:val="false"/>
          <w:i w:val="false"/>
          <w:color w:val="000000"/>
          <w:sz w:val="28"/>
        </w:rPr>
        <w:t xml:space="preserve"> (до 7 лет) для направления в детские дошкольные организации";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"</w:t>
      </w:r>
      <w:r>
        <w:rPr>
          <w:rFonts w:ascii="Times New Roman"/>
          <w:b w:val="false"/>
          <w:i w:val="false"/>
          <w:color w:val="000000"/>
          <w:sz w:val="28"/>
        </w:rPr>
        <w:t>Выдача справок по опеке и попечительству</w:t>
      </w:r>
      <w:r>
        <w:rPr>
          <w:rFonts w:ascii="Times New Roman"/>
          <w:b w:val="false"/>
          <w:i w:val="false"/>
          <w:color w:val="000000"/>
          <w:sz w:val="28"/>
        </w:rPr>
        <w:t>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"</w:t>
      </w:r>
      <w:r>
        <w:rPr>
          <w:rFonts w:ascii="Times New Roman"/>
          <w:b w:val="false"/>
          <w:i w:val="false"/>
          <w:color w:val="000000"/>
          <w:sz w:val="28"/>
        </w:rPr>
        <w:t>Выдача справок в пенсионные фонды, банки</w:t>
      </w:r>
      <w:r>
        <w:rPr>
          <w:rFonts w:ascii="Times New Roman"/>
          <w:b w:val="false"/>
          <w:i w:val="false"/>
          <w:color w:val="000000"/>
          <w:sz w:val="28"/>
        </w:rPr>
        <w:t xml:space="preserve">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"</w:t>
      </w:r>
      <w:r>
        <w:rPr>
          <w:rFonts w:ascii="Times New Roman"/>
          <w:b w:val="false"/>
          <w:i w:val="false"/>
          <w:color w:val="000000"/>
          <w:sz w:val="28"/>
        </w:rPr>
        <w:t>Выдача справок органов, осуществляющих функции по опеке или попечительству</w:t>
      </w:r>
      <w:r>
        <w:rPr>
          <w:rFonts w:ascii="Times New Roman"/>
          <w:b w:val="false"/>
          <w:i w:val="false"/>
          <w:color w:val="000000"/>
          <w:sz w:val="28"/>
        </w:rPr>
        <w:t xml:space="preserve"> для оформления сделок с имуществом, принадлежащим на праве собственности несовершеннолетним детям".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Костанайской области Бектурганова С.Ч.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 w:val="false"/>
          <w:i/>
          <w:color w:val="000000"/>
          <w:sz w:val="28"/>
        </w:rPr>
        <w:t>Исполняющий обязанности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акима области                              В. Мейстер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СОГЛАСОВАНО: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Министр транспорта и коммуникаций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______________ А. Жумагалиев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 w:val="false"/>
          <w:i/>
          <w:color w:val="000000"/>
          <w:sz w:val="28"/>
        </w:rPr>
        <w:t>Начальник ГУ "Управление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акимата Костанайской области"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______________ М. Жундубаев</w:t>
      </w:r>
    </w:p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22 ноября 2012 года № 527 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"Постановка на очередь детей дошкольного возраста</w:t>
      </w:r>
      <w:r>
        <w:br/>
      </w:r>
      <w:r>
        <w:rPr>
          <w:rFonts w:ascii="Times New Roman"/>
          <w:b/>
          <w:i w:val="false"/>
          <w:color w:val="000000"/>
        </w:rPr>
        <w:t>
(до 7 лет) для направления в детские</w:t>
      </w:r>
      <w:r>
        <w:br/>
      </w:r>
      <w:r>
        <w:rPr>
          <w:rFonts w:ascii="Times New Roman"/>
          <w:b/>
          <w:i w:val="false"/>
          <w:color w:val="000000"/>
        </w:rPr>
        <w:t>
дошкольные организации"</w:t>
      </w:r>
    </w:p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"Постановка на очередь детей дошкольного возраста (до 7 лет) для направления в детские дошкольные организации" (далее – электронная государственная услуга) оказывается отделами образования районов и городов Костанайской области, аппаратами акима поселка, аула (села), аульного (сельского) округа (далее – услугодатель), на альтернативной основе через Центры обслуживания населения (далее – Центр), а также через веб-портал "электронного правительства":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"Постановка на очередь детей дошкольного возраста (до 7 лет) для направления в детские дошкольные организации", утвержденного постановлением Правительства Республики Казахстан от 31 августа 2012 года </w:t>
      </w:r>
      <w:r>
        <w:rPr>
          <w:rFonts w:ascii="Times New Roman"/>
          <w:b w:val="false"/>
          <w:i w:val="false"/>
          <w:color w:val="000000"/>
          <w:sz w:val="28"/>
        </w:rPr>
        <w:t>№ 1119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"Постановка на очередь детей дошкольного возраста (до 7 лет) для направления в детские дошкольные организации"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АРМ –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 (далее –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 (далее - ЕНИС);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ГБД ФЛ – государственная база данных "Физические лица";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информационная система центров обслуживания населения Республики Казахстан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 (далее – ИС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получатель государственной услуги – физическое лицо (далее - получатель);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электронный документ – документ, в котором информация представлена в электронно-цифровой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веб–портал "электронного правительства"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региональный шлюз "электронного правительства" - обеспечивает информационное взаимодействие между внутренними системами/подсистемами местного исполнительного органа и внешними информационными системами, участвующими в процессе оказания электронных услуг местным исполнительным органом (далее -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шлюз "электронного правительства" – информационная система, предназначенная для интеграции информационных систем "электронного правительства" в рамках реализации электронных услуг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ЭЦП).</w:t>
      </w:r>
    </w:p>
    <w:bookmarkEnd w:id="4"/>
    <w:bookmarkStart w:name="z31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</w:t>
      </w:r>
      <w:r>
        <w:br/>
      </w:r>
      <w:r>
        <w:rPr>
          <w:rFonts w:ascii="Times New Roman"/>
          <w:b/>
          <w:i w:val="false"/>
          <w:color w:val="000000"/>
        </w:rPr>
        <w:t>
по оказанию электронной государственной услуги</w:t>
      </w:r>
    </w:p>
    <w:bookmarkEnd w:id="5"/>
    <w:bookmarkStart w:name="z3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ПЭП (диаграмма № 1 функционального взаимодействия)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осуществляет регистрацию на ПЭП с помощью ИИН и пароля (осуществляется для незарегистрированных 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получателем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получателем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получателя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получателем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получателем результата услуги (направление в детские дошкольные организации, в случае отсутствия мест в дошкольной организации, уведомление о постановке на очередь, с указанием номера очередности в форме электронного документа), сформированного АРМ РШЭП.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(диаграмма № 2 функционального взаимодействия) при оказании электронной государственной услуги через услугодателя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сотрудником услугодателя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получателя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получателем,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формирование сообщения об отказе в запрашиваемой электронной государственной услуге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получателем результата электронной государственной услуги (направление в детские дошкольные организации, в случае отсутствия мест в дошкольной организации, уведомление о постановке на очередь, с указанием номера очередности в форме электронного документа), сформированного АРМ РШЭП.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через Центр (диаграмма № 3 функционального взаимодействия) при оказании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получателя, а также данных по доверенности представителя получателя (при нотариально удостоверенной доверенности, при ином удостоверении доверенности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получателя, а также в ЕНИС – о данных доверенности представителя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получателем,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получателя),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получателем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получателем через оператора Центра результата электронной государственной услуги (направление в детские дошкольные организации, в случае отсутствия мест в дошкольной организации, уведомление о постановке на очередь, с указанием номера очередности в форме электронного документа),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Формы заполнения запроса и ответа на электронную государственную услугу приведены на веб-портале "электронного правительства" www.e.gov.kz, а также в услугодателе или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электронной государственной услуге: на портале "электронного правительства" в разделе "История получения услуг", а также при обращении в услугодатель или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Необходимую информацию и консультацию (в том числе обжалования) по оказанию электронной государственной услуги можно получить по телефону саll–центра ПЭП: (1414).</w:t>
      </w:r>
    </w:p>
    <w:bookmarkEnd w:id="6"/>
    <w:bookmarkStart w:name="z71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электронной государственной услуги</w:t>
      </w:r>
    </w:p>
    <w:bookmarkEnd w:id="7"/>
    <w:bookmarkStart w:name="z7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Структурно-функциональные единицы (далее – СФЕ),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АРМ 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Услугодатель;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Диаграммы, отражающие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 в соответствии с которыми должен быть представлен результат оказания электронной государственной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электронной государственной услуги получателям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электронной государственной услуги получателям: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 у лица,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наличие пользователя ЭЦП.</w:t>
      </w:r>
    </w:p>
    <w:bookmarkEnd w:id="8"/>
    <w:bookmarkStart w:name="z8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"Постановка на очередь детей дошкольного возраста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(до 7 лет) для направления в детские дошкольные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организации"                   </w:t>
      </w:r>
    </w:p>
    <w:bookmarkEnd w:id="9"/>
    <w:bookmarkStart w:name="z8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Таблица 1. Описание действий СФЕ через ПЭП  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2"/>
        <w:gridCol w:w="1241"/>
        <w:gridCol w:w="1302"/>
        <w:gridCol w:w="1243"/>
        <w:gridCol w:w="1342"/>
        <w:gridCol w:w="1283"/>
        <w:gridCol w:w="1125"/>
        <w:gridCol w:w="1027"/>
        <w:gridCol w:w="1342"/>
        <w:gridCol w:w="1163"/>
      </w:tblGrid>
      <w:tr>
        <w:trPr>
          <w:trHeight w:val="645" w:hRule="atLeast"/>
        </w:trPr>
        <w:tc>
          <w:tcPr>
            <w:tcW w:w="3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1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</w:tr>
      <w:tr>
        <w:trPr>
          <w:trHeight w:val="360" w:hRule="atLeast"/>
        </w:trPr>
        <w:tc>
          <w:tcPr>
            <w:tcW w:w="3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сание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паролю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</w:p>
        </w:tc>
        <w:tc>
          <w:tcPr>
            <w:tcW w:w="1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мента</w:t>
            </w:r>
          </w:p>
        </w:tc>
        <w:tc>
          <w:tcPr>
            <w:tcW w:w="1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2055" w:hRule="atLeast"/>
        </w:trPr>
        <w:tc>
          <w:tcPr>
            <w:tcW w:w="3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ные,до-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но-рас-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шение)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1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лению</w:t>
            </w:r>
          </w:p>
        </w:tc>
        <w:tc>
          <w:tcPr>
            <w:tcW w:w="1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мента</w:t>
            </w:r>
          </w:p>
        </w:tc>
      </w:tr>
      <w:tr>
        <w:trPr>
          <w:trHeight w:val="360" w:hRule="atLeast"/>
        </w:trPr>
        <w:tc>
          <w:tcPr>
            <w:tcW w:w="3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нения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1 мин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</w:p>
        </w:tc>
        <w:tc>
          <w:tcPr>
            <w:tcW w:w="1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–1 мин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</w:t>
            </w:r>
          </w:p>
        </w:tc>
        <w:tc>
          <w:tcPr>
            <w:tcW w:w="1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чих дня</w:t>
            </w:r>
          </w:p>
        </w:tc>
      </w:tr>
      <w:tr>
        <w:trPr>
          <w:trHeight w:val="30" w:hRule="atLeast"/>
        </w:trPr>
        <w:tc>
          <w:tcPr>
            <w:tcW w:w="3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вия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 на-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ний нет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1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bookmarkStart w:name="z8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Таблица 2. Описание действий СФЕ через услугодателя  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8"/>
        <w:gridCol w:w="1720"/>
        <w:gridCol w:w="1234"/>
        <w:gridCol w:w="1234"/>
        <w:gridCol w:w="2037"/>
        <w:gridCol w:w="1433"/>
        <w:gridCol w:w="2227"/>
        <w:gridCol w:w="441"/>
        <w:gridCol w:w="374"/>
        <w:gridCol w:w="241"/>
      </w:tblGrid>
      <w:tr>
        <w:trPr>
          <w:trHeight w:val="675" w:hRule="atLeast"/>
        </w:trPr>
        <w:tc>
          <w:tcPr>
            <w:tcW w:w="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СФЕ, ИС</w:t>
            </w:r>
          </w:p>
        </w:tc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</w:p>
        </w:tc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</w:p>
        </w:tc>
        <w:tc>
          <w:tcPr>
            <w:tcW w:w="2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датель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  <w:tc>
          <w:tcPr>
            <w:tcW w:w="2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</w:p>
        </w:tc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</w:tr>
      <w:tr>
        <w:trPr>
          <w:trHeight w:val="1995" w:hRule="atLeast"/>
        </w:trPr>
        <w:tc>
          <w:tcPr>
            <w:tcW w:w="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сание</w:t>
            </w:r>
          </w:p>
        </w:tc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роль</w:t>
            </w:r>
          </w:p>
        </w:tc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ги</w:t>
            </w:r>
          </w:p>
        </w:tc>
        <w:tc>
          <w:tcPr>
            <w:tcW w:w="2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  <w:tc>
          <w:tcPr>
            <w:tcW w:w="2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формы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сканиро-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ция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</w:t>
            </w:r>
          </w:p>
        </w:tc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695" w:hRule="atLeast"/>
        </w:trPr>
        <w:tc>
          <w:tcPr>
            <w:tcW w:w="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ные,до-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но-рас-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ние)</w:t>
            </w:r>
          </w:p>
        </w:tc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теме</w:t>
            </w:r>
          </w:p>
        </w:tc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раже-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проса</w:t>
            </w:r>
          </w:p>
        </w:tc>
        <w:tc>
          <w:tcPr>
            <w:tcW w:w="2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2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раже-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мента</w:t>
            </w:r>
          </w:p>
        </w:tc>
      </w:tr>
      <w:tr>
        <w:trPr>
          <w:trHeight w:val="465" w:hRule="atLeast"/>
        </w:trPr>
        <w:tc>
          <w:tcPr>
            <w:tcW w:w="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нения</w:t>
            </w:r>
          </w:p>
        </w:tc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2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сек</w:t>
            </w:r>
          </w:p>
        </w:tc>
        <w:tc>
          <w:tcPr>
            <w:tcW w:w="2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</w:t>
            </w:r>
          </w:p>
        </w:tc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</w:t>
            </w:r>
          </w:p>
        </w:tc>
      </w:tr>
      <w:tr>
        <w:trPr>
          <w:trHeight w:val="1395" w:hRule="atLeast"/>
        </w:trPr>
        <w:tc>
          <w:tcPr>
            <w:tcW w:w="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вия</w:t>
            </w:r>
          </w:p>
        </w:tc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 на-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ний нет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 на-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bookmarkStart w:name="z8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Таблица 3. Описание действий СФЕ через Центр  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8"/>
        <w:gridCol w:w="1001"/>
        <w:gridCol w:w="814"/>
        <w:gridCol w:w="1669"/>
        <w:gridCol w:w="1101"/>
        <w:gridCol w:w="1335"/>
        <w:gridCol w:w="1335"/>
        <w:gridCol w:w="1001"/>
        <w:gridCol w:w="881"/>
        <w:gridCol w:w="1034"/>
        <w:gridCol w:w="681"/>
      </w:tblGrid>
      <w:tr>
        <w:trPr>
          <w:trHeight w:val="495" w:hRule="atLeast"/>
        </w:trPr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1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1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</w:t>
            </w:r>
          </w:p>
        </w:tc>
        <w:tc>
          <w:tcPr>
            <w:tcW w:w="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ЕНИС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1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</w:tr>
      <w:tr>
        <w:trPr>
          <w:trHeight w:val="2475" w:hRule="atLeast"/>
        </w:trPr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1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сание</w:t>
            </w:r>
          </w:p>
        </w:tc>
        <w:tc>
          <w:tcPr>
            <w:tcW w:w="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ризу-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логи-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лю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ную 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ную 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ЕНИС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ет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невоз-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можности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крепле-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нием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1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мента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чателя</w:t>
            </w:r>
          </w:p>
        </w:tc>
        <w:tc>
          <w:tcPr>
            <w:tcW w:w="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ги</w:t>
            </w:r>
          </w:p>
        </w:tc>
      </w:tr>
      <w:tr>
        <w:trPr>
          <w:trHeight w:val="645" w:hRule="atLeast"/>
        </w:trPr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1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ние)</w:t>
            </w:r>
          </w:p>
        </w:tc>
        <w:tc>
          <w:tcPr>
            <w:tcW w:w="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лению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уве-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 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</w:t>
            </w:r>
          </w:p>
        </w:tc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свое-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лению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раже-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мента</w:t>
            </w:r>
          </w:p>
        </w:tc>
      </w:tr>
      <w:tr>
        <w:trPr>
          <w:trHeight w:val="300" w:hRule="atLeast"/>
        </w:trPr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1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нения</w:t>
            </w:r>
          </w:p>
        </w:tc>
        <w:tc>
          <w:tcPr>
            <w:tcW w:w="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</w:t>
            </w:r>
          </w:p>
        </w:tc>
        <w:tc>
          <w:tcPr>
            <w:tcW w:w="1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</w:t>
            </w:r>
          </w:p>
        </w:tc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–1 мин</w:t>
            </w:r>
          </w:p>
        </w:tc>
        <w:tc>
          <w:tcPr>
            <w:tcW w:w="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</w:t>
            </w:r>
          </w:p>
        </w:tc>
      </w:tr>
      <w:tr>
        <w:trPr>
          <w:trHeight w:val="825" w:hRule="atLeast"/>
        </w:trPr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1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вия</w:t>
            </w:r>
          </w:p>
        </w:tc>
        <w:tc>
          <w:tcPr>
            <w:tcW w:w="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bookmarkStart w:name="z9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данных таблицах перечисляются действия (функции, процедуры, операции) всех СФЕ с указанием форм завершения, сроков исполнения и указанием номеров последующих действий в технологической цепочке процесса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основании таблиц </w:t>
      </w:r>
      <w:r>
        <w:rPr>
          <w:rFonts w:ascii="Times New Roman"/>
          <w:b w:val="false"/>
          <w:i w:val="false"/>
          <w:color w:val="000000"/>
          <w:sz w:val="28"/>
        </w:rPr>
        <w:t>приложения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строятся диаграммы функционального взаимодействия при оказании электронных государственных услуг.</w:t>
      </w:r>
    </w:p>
    <w:bookmarkEnd w:id="13"/>
    <w:bookmarkStart w:name="z9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"Постановка на очередь детей дошкольного возраста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(до 7 лет) для направления в детские дошкольные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организации"            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7978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1. Диаграмма функционального взаимодействия при оказании электронной государственной услуги через ПЭП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632700" cy="434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2. Диаграмма функционального взаимодействия при оказании электронной государственной услуги через услугодателя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645400" cy="403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3. Диаграмма функционального взаимодействия при оказании электронной государственной услуги через Центр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3"/>
        <w:gridCol w:w="9353"/>
      </w:tblGrid>
      <w:tr>
        <w:trPr>
          <w:trHeight w:val="705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Информационная система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017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17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получателю</w:t>
            </w:r>
          </w:p>
        </w:tc>
      </w:tr>
    </w:tbl>
    <w:bookmarkStart w:name="z9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Типовое оформление диаграммы приведено в графической нотации BPMN 1.2, используемой для моделирования бизнес-процессов. Моделирование в BPMN осуществляется посредством диаграмм с небольшим числом графических элементов. Это помогает получателям быстро понимать логику процесса. Выделяют четыре основные категории элементов: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объекты потока управления: события, действия и логические операторы;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соединяющие объекты: поток управления, поток сообщений и ассоциации;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роли: пулы и дорожки;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артефакты: данные, группы и текстовые аннотации.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Элементы этих четырех категорий позволяют строить диаграммы бизнес процессов. Для повышения выразительности модели спецификация разрешает создавать новые типы объектов потока управления и артефактов, которые должны быть приведены в разделе "Примечания".</w:t>
      </w:r>
    </w:p>
    <w:bookmarkEnd w:id="18"/>
    <w:bookmarkStart w:name="z10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"Постановка на очередь детей дошкольного возраста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(до 7 лет) для направления в детские дошкольные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организации"                   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26200" cy="83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210300" cy="477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1214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"Постановка на очередь детей дошкольного возраста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(до 7 лет) для направления в детские дошкольные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организации"                  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07300" cy="1082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3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Уведомления, предоставляемые получателю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"Уведомления" в личном кабинете на портале "электронного правительства", а также передается в систему ИС ЦОН.</w:t>
      </w:r>
    </w:p>
    <w:bookmarkStart w:name="z104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Уведомление о регистрации ребенка дошкольного</w:t>
      </w:r>
      <w:r>
        <w:br/>
      </w:r>
      <w:r>
        <w:rPr>
          <w:rFonts w:ascii="Times New Roman"/>
          <w:b/>
          <w:i w:val="false"/>
          <w:color w:val="000000"/>
        </w:rPr>
        <w:t>
возраста для направления в дошкольную организацию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5651500" cy="76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715000" cy="288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791200" cy="278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5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отрицательного ответа (отказ)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bookmarkEnd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bookmarkStart w:name="z10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"Постановка на очередь детей дошкольного возраста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(до 7 лет) для направления в детские дошкольные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организации"                  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</w:t>
      </w:r>
      <w:r>
        <w:br/>
      </w:r>
      <w:r>
        <w:rPr>
          <w:rFonts w:ascii="Times New Roman"/>
          <w:b/>
          <w:i w:val="false"/>
          <w:color w:val="000000"/>
        </w:rPr>
        <w:t>
"качество" и "доступность"____________________________________________________________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0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2012 года № 527    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справок по опеке и попечительству"</w:t>
      </w:r>
    </w:p>
    <w:bookmarkStart w:name="z108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6"/>
    <w:bookmarkStart w:name="z109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Электронная государственная услуга "Выдача справок по опеке и попечительству" (далее – электронная государственная услуга) оказывается отделами образования районов и городов Костанайской области (далее – услугодатель), на безальтернативной основе через Центры обслуживания населения (далее - Центр), а также через веб-портал "электронного правительства":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по опеке и попечительству", утвержденного постановлением Правительства Республики Казахстан от 31 августа 2012 года </w:t>
      </w:r>
      <w:r>
        <w:rPr>
          <w:rFonts w:ascii="Times New Roman"/>
          <w:b w:val="false"/>
          <w:i w:val="false"/>
          <w:color w:val="000000"/>
          <w:sz w:val="28"/>
        </w:rPr>
        <w:t>№ 1119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"Выдача справок по опеке и попечительству"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АРМ –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 (далее –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 (далее - ЕНИС);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ГБД ФЛ – государственная база данных "Физические лица";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информационная система центров обслуживания населения Республики Казахстан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 (далее – ИС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получатель государственной услуги – физическое лицо (далее - получатель);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электронный документ – документ, в котором информация представлена в электронно-цифровой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веб–портал "электронного правительства"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региональный шлюз "электронного правительства" - обеспечивает информационное взаимодействие между внутренними системами/подсистемами местного исполнительного органа и внешними информационными системами, участвующими в процессе оказания электронных услуг местным исполнительным органом (далее -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шлюз "электронного правительства" – информационная система, предназначенная для интеграции информационных систем "электронного правительства" в рамках реализации электронных услуг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ЭЦП).</w:t>
      </w:r>
    </w:p>
    <w:bookmarkEnd w:id="27"/>
    <w:bookmarkStart w:name="z129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28"/>
    <w:bookmarkStart w:name="z13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ПЭП (диаграмма № 1 функционального взаимодействия)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осуществляет регистрацию на ПЭП с помощью ИИН и пароля (осуществляется для незарегистрированных 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получателем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получателем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получателя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получателем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получателем результата услуги (справка в форме электронного документа), сформированного АРМ РШЭП.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Центр (диаграмма № 3 функционального взаимодействия) при оказании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получателя, а также данных по доверенности представителя получателя (при нотариально удостоверенной доверенности, при ином удостоверении доверенности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получателя, а также в ЕНИС – о данных доверенности представителя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получателем,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получателя),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получателем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получателем через оператора Центра результата электронной государственной услуги (справка в форме бумажного документа),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8. Формы заполнения запроса и ответа на электронную государственную услугу приведены на веб-портале "электронного правительства"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>, а также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портале "электронного правительства" в разделе "История получения услуг", а также при обращении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(в том числе обжалования) по оказанию электронной государственной услуги можно получить по телефону саll–центра ПЭП: (1414).</w:t>
      </w:r>
    </w:p>
    <w:bookmarkEnd w:id="29"/>
    <w:bookmarkStart w:name="z158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электронной государственной услуги</w:t>
      </w:r>
    </w:p>
    <w:bookmarkEnd w:id="30"/>
    <w:bookmarkStart w:name="z15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Структурно-функциональные единицы (далее – СФЕ),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АРМ 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 в соответствии с которыми должен быть представлен результат оказания электронной государственной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получателям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получателям: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 у лица,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наличие пользователя ЭЦП.</w:t>
      </w:r>
    </w:p>
    <w:bookmarkEnd w:id="31"/>
    <w:bookmarkStart w:name="z17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справок по опеке и попечительству"   </w:t>
      </w:r>
    </w:p>
    <w:bookmarkEnd w:id="32"/>
    <w:bookmarkStart w:name="z17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Таблица 1. Описание действий СФЕ через ПЭП  </w:t>
      </w:r>
    </w:p>
    <w:bookmarkEnd w:id="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8"/>
        <w:gridCol w:w="1087"/>
        <w:gridCol w:w="1228"/>
        <w:gridCol w:w="1287"/>
        <w:gridCol w:w="1229"/>
        <w:gridCol w:w="1248"/>
        <w:gridCol w:w="1228"/>
        <w:gridCol w:w="1110"/>
        <w:gridCol w:w="1228"/>
        <w:gridCol w:w="1427"/>
      </w:tblGrid>
      <w:tr>
        <w:trPr>
          <w:trHeight w:val="645" w:hRule="atLeast"/>
        </w:trPr>
        <w:tc>
          <w:tcPr>
            <w:tcW w:w="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360" w:hRule="atLeast"/>
        </w:trPr>
        <w:tc>
          <w:tcPr>
            <w:tcW w:w="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паролю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</w:p>
        </w:tc>
        <w:tc>
          <w:tcPr>
            <w:tcW w:w="1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лучате-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1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мента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</w:p>
        </w:tc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лучате-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лем 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2055" w:hRule="atLeast"/>
        </w:trPr>
        <w:tc>
          <w:tcPr>
            <w:tcW w:w="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ние)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1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лению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мента</w:t>
            </w:r>
          </w:p>
        </w:tc>
      </w:tr>
      <w:tr>
        <w:trPr>
          <w:trHeight w:val="360" w:hRule="atLeast"/>
        </w:trPr>
        <w:tc>
          <w:tcPr>
            <w:tcW w:w="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нения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1 мин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</w:p>
        </w:tc>
        <w:tc>
          <w:tcPr>
            <w:tcW w:w="1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1 мин</w:t>
            </w:r>
          </w:p>
        </w:tc>
        <w:tc>
          <w:tcPr>
            <w:tcW w:w="1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1 мин</w:t>
            </w:r>
          </w:p>
        </w:tc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чих дня</w:t>
            </w:r>
          </w:p>
        </w:tc>
      </w:tr>
      <w:tr>
        <w:trPr>
          <w:trHeight w:val="30" w:hRule="atLeast"/>
        </w:trPr>
        <w:tc>
          <w:tcPr>
            <w:tcW w:w="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вия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ний нет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bookmarkStart w:name="z17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Таблица 2. Описание действий СФЕ через Центр  </w:t>
      </w:r>
    </w:p>
    <w:bookmarkEnd w:id="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2"/>
        <w:gridCol w:w="1439"/>
        <w:gridCol w:w="1260"/>
        <w:gridCol w:w="1260"/>
        <w:gridCol w:w="1080"/>
        <w:gridCol w:w="1080"/>
        <w:gridCol w:w="1080"/>
        <w:gridCol w:w="1080"/>
        <w:gridCol w:w="1080"/>
        <w:gridCol w:w="1080"/>
        <w:gridCol w:w="901"/>
      </w:tblGrid>
      <w:tr>
        <w:trPr>
          <w:trHeight w:val="495" w:hRule="atLeast"/>
        </w:trPr>
        <w:tc>
          <w:tcPr>
            <w:tcW w:w="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СФЕ, ИС</w:t>
            </w:r>
          </w:p>
        </w:tc>
        <w:tc>
          <w:tcPr>
            <w:tcW w:w="1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  <w:tc>
          <w:tcPr>
            <w:tcW w:w="1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1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1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ЕНИС</w:t>
            </w:r>
          </w:p>
        </w:tc>
        <w:tc>
          <w:tcPr>
            <w:tcW w:w="1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1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1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1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</w:tr>
      <w:tr>
        <w:trPr>
          <w:trHeight w:val="2475" w:hRule="atLeast"/>
        </w:trPr>
        <w:tc>
          <w:tcPr>
            <w:tcW w:w="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са, 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логину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паролю</w:t>
            </w:r>
          </w:p>
        </w:tc>
        <w:tc>
          <w:tcPr>
            <w:tcW w:w="1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ЕНИС</w:t>
            </w:r>
          </w:p>
        </w:tc>
        <w:tc>
          <w:tcPr>
            <w:tcW w:w="1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невоз-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можнос-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 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твием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</w:p>
        </w:tc>
        <w:tc>
          <w:tcPr>
            <w:tcW w:w="1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репле-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нием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 не-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обхо-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1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го)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1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мента</w:t>
            </w:r>
          </w:p>
        </w:tc>
        <w:tc>
          <w:tcPr>
            <w:tcW w:w="1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ги</w:t>
            </w:r>
          </w:p>
        </w:tc>
      </w:tr>
      <w:tr>
        <w:trPr>
          <w:trHeight w:val="645" w:hRule="atLeast"/>
        </w:trPr>
        <w:tc>
          <w:tcPr>
            <w:tcW w:w="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систе-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нию</w:t>
            </w:r>
          </w:p>
        </w:tc>
        <w:tc>
          <w:tcPr>
            <w:tcW w:w="1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1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раже-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проса</w:t>
            </w:r>
          </w:p>
        </w:tc>
        <w:tc>
          <w:tcPr>
            <w:tcW w:w="1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лению</w:t>
            </w:r>
          </w:p>
        </w:tc>
        <w:tc>
          <w:tcPr>
            <w:tcW w:w="1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раже-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мента</w:t>
            </w:r>
          </w:p>
        </w:tc>
      </w:tr>
      <w:tr>
        <w:trPr>
          <w:trHeight w:val="300" w:hRule="atLeast"/>
        </w:trPr>
        <w:tc>
          <w:tcPr>
            <w:tcW w:w="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полнения</w:t>
            </w:r>
          </w:p>
        </w:tc>
        <w:tc>
          <w:tcPr>
            <w:tcW w:w="1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</w:t>
            </w:r>
          </w:p>
        </w:tc>
        <w:tc>
          <w:tcPr>
            <w:tcW w:w="1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</w:p>
        </w:tc>
        <w:tc>
          <w:tcPr>
            <w:tcW w:w="1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–1 мин</w:t>
            </w:r>
          </w:p>
        </w:tc>
        <w:tc>
          <w:tcPr>
            <w:tcW w:w="1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</w:t>
            </w:r>
          </w:p>
        </w:tc>
        <w:tc>
          <w:tcPr>
            <w:tcW w:w="1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</w:t>
            </w:r>
          </w:p>
        </w:tc>
        <w:tc>
          <w:tcPr>
            <w:tcW w:w="1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–1 мин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</w:t>
            </w:r>
          </w:p>
        </w:tc>
      </w:tr>
      <w:tr>
        <w:trPr>
          <w:trHeight w:val="825" w:hRule="atLeast"/>
        </w:trPr>
        <w:tc>
          <w:tcPr>
            <w:tcW w:w="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ний нет</w:t>
            </w:r>
          </w:p>
        </w:tc>
        <w:tc>
          <w:tcPr>
            <w:tcW w:w="1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1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bookmarkStart w:name="z17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данной таблице перечисляются действия (функции, процедуры, операции) всех СФЕ с указанием форм завершения, сроков исполнения и указанием номеров последующих действий в технологической цепочке процесса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основании таблиц </w:t>
      </w:r>
      <w:r>
        <w:rPr>
          <w:rFonts w:ascii="Times New Roman"/>
          <w:b w:val="false"/>
          <w:i w:val="false"/>
          <w:color w:val="000000"/>
          <w:sz w:val="28"/>
        </w:rPr>
        <w:t>приложения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строятся диаграммы функционального взаимодействия при оказании электронных государственных услуг.</w:t>
      </w:r>
    </w:p>
    <w:bookmarkEnd w:id="35"/>
    <w:bookmarkStart w:name="z17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"Выдача справок по опеке и попечительству"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7978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7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1. Диаграмма функционального взаимодействия при оказании электронной государственной услуги через ПЭП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683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7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2. Диаграмма функционального взаимодействия при оказании электронной государственной услуги через Центр</w:t>
      </w:r>
    </w:p>
    <w:bookmarkEnd w:id="38"/>
    <w:bookmarkStart w:name="z180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Таблица. Условные обозначения</w:t>
      </w:r>
    </w:p>
    <w:bookmarkEnd w:id="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3"/>
        <w:gridCol w:w="9473"/>
      </w:tblGrid>
      <w:tr>
        <w:trPr>
          <w:trHeight w:val="705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Информационная система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017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17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получателю</w:t>
            </w:r>
          </w:p>
        </w:tc>
      </w:tr>
    </w:tbl>
    <w:bookmarkStart w:name="z18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Типовое оформление диаграммы приведено в графической нотации BPMN 1.2, используемой для моделирования бизнес-процессов. Моделирование в BPMN осуществляется посредством диаграмм с небольшим числом графических элементов. Это помогает получателям быстро понимать логику процесса. Выделяют четыре основные категории элементов: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объекты потока управления: события, действия и логические операторы;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соединяющие объекты: поток управления, поток сообщений и ассоциации;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роли: пулы и дорожки;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артефакты: данные, группы и текстовые аннотации.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Элементы этих четырех категорий позволяют строить диаграммы бизнес процессов. Для повышения выразительности модели спецификация разрешает создавать новые типы объектов потока управления и артефактов, которые должны быть приведены в разделе "Примечания".</w:t>
      </w:r>
    </w:p>
    <w:bookmarkEnd w:id="40"/>
    <w:bookmarkStart w:name="z186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справок по опеке и попечительству"    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78600" cy="86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7691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464300" cy="261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7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Уведомления, предоставляемые получателю</w:t>
      </w:r>
    </w:p>
    <w:bookmarkEnd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"Уведомления" в личном кабинете на портале "электронного правительства", а также передается в систему ИС ЦОН.</w:t>
      </w:r>
    </w:p>
    <w:bookmarkStart w:name="z188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отрицательного ответа (отказ)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bookmarkStart w:name="z189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справок по опеке и попечительству"    </w:t>
      </w:r>
    </w:p>
    <w:bookmarkEnd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</w:t>
      </w:r>
      <w:r>
        <w:br/>
      </w:r>
      <w:r>
        <w:rPr>
          <w:rFonts w:ascii="Times New Roman"/>
          <w:b/>
          <w:i w:val="false"/>
          <w:color w:val="000000"/>
        </w:rPr>
        <w:t>
"качество" и "доступность"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90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22 ноября 2012 года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527          </w:t>
      </w:r>
    </w:p>
    <w:bookmarkEnd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"Выдача справок в пенсионные фонды,</w:t>
      </w:r>
      <w:r>
        <w:br/>
      </w:r>
      <w:r>
        <w:rPr>
          <w:rFonts w:ascii="Times New Roman"/>
          <w:b/>
          <w:i w:val="false"/>
          <w:color w:val="000000"/>
        </w:rPr>
        <w:t>
банки для распоряжения вкладами несовершеннолетних</w:t>
      </w:r>
      <w:r>
        <w:br/>
      </w:r>
      <w:r>
        <w:rPr>
          <w:rFonts w:ascii="Times New Roman"/>
          <w:b/>
          <w:i w:val="false"/>
          <w:color w:val="000000"/>
        </w:rPr>
        <w:t>
детей, в территориальные подразделения Комитета дорожной</w:t>
      </w:r>
      <w:r>
        <w:br/>
      </w:r>
      <w:r>
        <w:rPr>
          <w:rFonts w:ascii="Times New Roman"/>
          <w:b/>
          <w:i w:val="false"/>
          <w:color w:val="000000"/>
        </w:rPr>
        <w:t>
полиции Министерства внутренних дел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
для оформления наследства несовершеннолетним детям"</w:t>
      </w:r>
    </w:p>
    <w:bookmarkStart w:name="z191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6"/>
    <w:bookmarkStart w:name="z192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Электронная государственная услуга "Выдача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детям" (далее – электронная государственная услуга) оказывается отделами образования районов и городов Костанайской области (далее – услугодатель), на безальтернативной основе через Центры обслуживания населения (далее - Центр), а также через веб-портал "электронного правительства":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детям", утвержденного постановлением Правительства Республики Казахстан от 31 августа 2012 года </w:t>
      </w:r>
      <w:r>
        <w:rPr>
          <w:rFonts w:ascii="Times New Roman"/>
          <w:b w:val="false"/>
          <w:i w:val="false"/>
          <w:color w:val="000000"/>
          <w:sz w:val="28"/>
        </w:rPr>
        <w:t>№ 1119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"Выдача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детям"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АРМ –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 (далее –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 (далее - ЕНИС);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ГБД ФЛ – государственная база данных "Физические лица";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информационная система центров обслуживания населения Республики Казахстан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 (далее – ИС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получатель государственной услуги – физическое лицо (далее - получатель);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электронный документ – документ, в котором информация представлена в электронно-цифровой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веб–портал "электронного правительства"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региональный шлюз "электронного правительства" - обеспечивает информационное взаимодействие между внутренними системами/подсистемами местного исполнительного органа и внешними информационными системами, участвующими в процессе оказания электронных услуг местным исполнительным органом (далее -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шлюз "электронного правительства" – информационная система, предназначенная для интеграции информационных систем "электронного правительства" в рамках реализации электронных услуг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ЭЦП).</w:t>
      </w:r>
    </w:p>
    <w:bookmarkEnd w:id="47"/>
    <w:bookmarkStart w:name="z212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</w:t>
      </w:r>
      <w:r>
        <w:br/>
      </w:r>
      <w:r>
        <w:rPr>
          <w:rFonts w:ascii="Times New Roman"/>
          <w:b/>
          <w:i w:val="false"/>
          <w:color w:val="000000"/>
        </w:rPr>
        <w:t>
оказанию электронной государственной услуги</w:t>
      </w:r>
    </w:p>
    <w:bookmarkEnd w:id="48"/>
    <w:bookmarkStart w:name="z213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ПЭП (диаграмма № 1 функционального взаимодействия)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осуществляет регистрацию на ПЭП с помощью ИИН и пароля (осуществляется для незарегистрированных 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получателем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получателем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получателя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получателем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получателем результата услуги (справка в форме электронного документа), сформированного АРМ РШЭП.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Центр (диаграмма № 3 функционального взаимодействия) при оказании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получателя, а также данных по доверенности представителя получателя (при нотариально удостоверенной доверенности, при ином удостоверении доверенности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получателя, а также в ЕНИС – о данных доверенности представителя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получателем,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получателя),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получателем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получателем через оператора Центра результата электронной государственной услуги (справка в форме бумажного документа),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8. Формы заполнения запроса и ответа на электронную государственную услугу приведены на веб-портале "электронного правительства"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>, а также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портале "электронного правительства" в разделе "История получения услуг", а также при обращении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(в том числе обжалования) по оказанию электронной государственной услуги можно получить по телефону саll–центра ПЭП: (1414).</w:t>
      </w:r>
    </w:p>
    <w:bookmarkEnd w:id="49"/>
    <w:bookmarkStart w:name="z241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50"/>
    <w:bookmarkStart w:name="z242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Структурно-функциональные единицы (далее – СФЕ),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АРМ 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 в соответствии с которыми должен быть представлен результат оказания электронной государственной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получателям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получателям: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 у лица,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наличие пользователя ЭЦП.</w:t>
      </w:r>
    </w:p>
    <w:bookmarkEnd w:id="51"/>
    <w:bookmarkStart w:name="z256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"Выдача справок в пенсионные фонды,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банки для распоряжения вкладами несовершеннолетних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детей, в территориальные подразделения Комитета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дорожной полиции Министерства внутренних дел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 для оформления наследства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несовершеннолетним детям"            </w:t>
      </w:r>
    </w:p>
    <w:bookmarkEnd w:id="52"/>
    <w:bookmarkStart w:name="z257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Таблица 1. Описание действий СФЕ через ПЭП  </w:t>
      </w:r>
    </w:p>
    <w:bookmarkEnd w:id="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7"/>
        <w:gridCol w:w="1129"/>
        <w:gridCol w:w="1318"/>
        <w:gridCol w:w="1318"/>
        <w:gridCol w:w="1318"/>
        <w:gridCol w:w="1318"/>
        <w:gridCol w:w="1130"/>
        <w:gridCol w:w="942"/>
        <w:gridCol w:w="1319"/>
        <w:gridCol w:w="1131"/>
      </w:tblGrid>
      <w:tr>
        <w:trPr>
          <w:trHeight w:val="645" w:hRule="atLeast"/>
        </w:trPr>
        <w:tc>
          <w:tcPr>
            <w:tcW w:w="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</w:tr>
      <w:tr>
        <w:trPr>
          <w:trHeight w:val="360" w:hRule="atLeast"/>
        </w:trPr>
        <w:tc>
          <w:tcPr>
            <w:tcW w:w="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паролю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ет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ет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 ЭЦП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мента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мися на-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рушения-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 в до-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</w:p>
        </w:tc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2055" w:hRule="atLeast"/>
        </w:trPr>
        <w:tc>
          <w:tcPr>
            <w:tcW w:w="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ние)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</w:t>
            </w:r>
          </w:p>
        </w:tc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лению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раже-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мента</w:t>
            </w:r>
          </w:p>
        </w:tc>
      </w:tr>
      <w:tr>
        <w:trPr>
          <w:trHeight w:val="360" w:hRule="atLeast"/>
        </w:trPr>
        <w:tc>
          <w:tcPr>
            <w:tcW w:w="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нения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–1 мин</w:t>
            </w:r>
          </w:p>
        </w:tc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</w:t>
            </w:r>
          </w:p>
        </w:tc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</w:t>
            </w:r>
          </w:p>
        </w:tc>
      </w:tr>
      <w:tr>
        <w:trPr>
          <w:trHeight w:val="30" w:hRule="atLeast"/>
        </w:trPr>
        <w:tc>
          <w:tcPr>
            <w:tcW w:w="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вия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 на-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 на-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ний нет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bookmarkStart w:name="z258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Таблица 2. Описание действий СФЕ через Центр  </w:t>
      </w:r>
    </w:p>
    <w:bookmarkEnd w:id="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86"/>
        <w:gridCol w:w="599"/>
        <w:gridCol w:w="1002"/>
        <w:gridCol w:w="1316"/>
        <w:gridCol w:w="1069"/>
        <w:gridCol w:w="1383"/>
        <w:gridCol w:w="1316"/>
        <w:gridCol w:w="913"/>
        <w:gridCol w:w="1069"/>
        <w:gridCol w:w="1002"/>
        <w:gridCol w:w="555"/>
      </w:tblGrid>
      <w:tr>
        <w:trPr>
          <w:trHeight w:val="495" w:hRule="atLeast"/>
        </w:trPr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</w:t>
            </w:r>
          </w:p>
        </w:tc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  <w:tc>
          <w:tcPr>
            <w:tcW w:w="1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1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ЕНИС</w:t>
            </w:r>
          </w:p>
        </w:tc>
        <w:tc>
          <w:tcPr>
            <w:tcW w:w="1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</w:tr>
      <w:tr>
        <w:trPr>
          <w:trHeight w:val="2505" w:hRule="atLeast"/>
        </w:trPr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</w:p>
        </w:tc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ризу-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ло-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гину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паролю</w:t>
            </w:r>
          </w:p>
        </w:tc>
        <w:tc>
          <w:tcPr>
            <w:tcW w:w="1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ЕНИС</w:t>
            </w:r>
          </w:p>
        </w:tc>
        <w:tc>
          <w:tcPr>
            <w:tcW w:w="1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не-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мож-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чателя</w:t>
            </w:r>
          </w:p>
        </w:tc>
        <w:tc>
          <w:tcPr>
            <w:tcW w:w="1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репле-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нием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 не-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обхо-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мента</w:t>
            </w:r>
          </w:p>
        </w:tc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ющими-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ся на-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чателя</w:t>
            </w:r>
          </w:p>
        </w:tc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645" w:hRule="atLeast"/>
        </w:trPr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-рас-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поря-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шение)</w:t>
            </w:r>
          </w:p>
        </w:tc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лению</w:t>
            </w:r>
          </w:p>
        </w:tc>
        <w:tc>
          <w:tcPr>
            <w:tcW w:w="1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раже-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проса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</w:t>
            </w:r>
          </w:p>
        </w:tc>
        <w:tc>
          <w:tcPr>
            <w:tcW w:w="1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1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раже-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проса</w:t>
            </w:r>
          </w:p>
        </w:tc>
        <w:tc>
          <w:tcPr>
            <w:tcW w:w="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лению</w:t>
            </w:r>
          </w:p>
        </w:tc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раже-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мента</w:t>
            </w:r>
          </w:p>
        </w:tc>
      </w:tr>
      <w:tr>
        <w:trPr>
          <w:trHeight w:val="300" w:hRule="atLeast"/>
        </w:trPr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нения</w:t>
            </w:r>
          </w:p>
        </w:tc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–1 мин</w:t>
            </w:r>
          </w:p>
        </w:tc>
        <w:tc>
          <w:tcPr>
            <w:tcW w:w="1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</w:t>
            </w:r>
          </w:p>
        </w:tc>
        <w:tc>
          <w:tcPr>
            <w:tcW w:w="1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</w:t>
            </w:r>
          </w:p>
        </w:tc>
        <w:tc>
          <w:tcPr>
            <w:tcW w:w="1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–1 мин</w:t>
            </w:r>
          </w:p>
        </w:tc>
        <w:tc>
          <w:tcPr>
            <w:tcW w:w="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</w:t>
            </w:r>
          </w:p>
        </w:tc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–1 мин</w:t>
            </w:r>
          </w:p>
        </w:tc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</w:t>
            </w:r>
          </w:p>
        </w:tc>
      </w:tr>
      <w:tr>
        <w:trPr>
          <w:trHeight w:val="825" w:hRule="atLeast"/>
        </w:trPr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вия</w:t>
            </w:r>
          </w:p>
        </w:tc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1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bookmarkStart w:name="z259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данной таблице перечисляются действия (функции, процедуры, операции) всех СФЕ с указанием форм завершения, сроков исполнения и указанием номеров последующих действий в технологической цепочке процесса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основании таблиц </w:t>
      </w:r>
      <w:r>
        <w:rPr>
          <w:rFonts w:ascii="Times New Roman"/>
          <w:b w:val="false"/>
          <w:i w:val="false"/>
          <w:color w:val="000000"/>
          <w:sz w:val="28"/>
        </w:rPr>
        <w:t>приложения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строятся диаграммы функционального взаимодействия при оказании электронных государственных услуг.</w:t>
      </w:r>
    </w:p>
    <w:bookmarkEnd w:id="55"/>
    <w:bookmarkStart w:name="z260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"Выдача справок в пенсионные фонды,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банки для распоряжения вкладами несовершеннолетних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детей, в территориальные подразделения Комитета дорожной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полиции Министерства внутренних дел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оформления наследства несовершеннолетним детям"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543800" cy="415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61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1. Диаграмма функционального взаимодействия при оказании электронной государственной услуги через ПЭП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7632700" cy="403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62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2. Диаграмма функционального взаимодействия при оказании электронной государственной услуги через Центр</w:t>
      </w:r>
    </w:p>
    <w:bookmarkEnd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3"/>
        <w:gridCol w:w="9073"/>
      </w:tblGrid>
      <w:tr>
        <w:trPr>
          <w:trHeight w:val="705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Информационная система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017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17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конечному получателю</w:t>
            </w:r>
          </w:p>
        </w:tc>
      </w:tr>
    </w:tbl>
    <w:bookmarkStart w:name="z263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Типовое оформление диаграммы приведено в графической нотации BPMN 1.2, используемой для моделирования бизнес-процессов. Моделирование в BPMN осуществляется посредством диаграмм с небольшим числом графических элементов. Это помогает получателям быстро понимать логику процесса. Выделяют четыре основные категории элементов: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объекты потока управления: события, действия и логические операторы;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соединяющие объекты: поток управления, поток сообщений и ассоциации;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роли: пулы и дорожки;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артефакты: данные, группы и текстовые аннотации.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Элементы этих четырех категорий позволяют строить диаграммы бизнес процессов. Для повышения выразительности модели спецификация разрешает создавать новые типы объектов потока управления и артефактов, которые должны быть приведены в разделе "Примечания".</w:t>
      </w:r>
    </w:p>
    <w:bookmarkEnd w:id="59"/>
    <w:bookmarkStart w:name="z268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"Выдача справок в пенсионные фонды,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банки для распоряжения вкладами несовершеннолетних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детей, в территориальные подразделения Комитета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дорожной полиции Министерства внутренних дел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 для оформления наследства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несовершеннолетним детям"            </w:t>
      </w:r>
    </w:p>
    <w:bookmarkEnd w:id="60"/>
    <w:bookmarkStart w:name="z269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Экранная форма заявления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7404100" cy="92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3787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934200" cy="160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70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Экранная форма заявления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7086600" cy="101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654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289800" cy="257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71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Экранная форма заявления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7264400" cy="104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353300" cy="482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467600" cy="246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72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"Выдача справок в пенсионные фонды,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банки для распоряжения вкладами несовершеннолетних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детей, в территориальные подразделения Комитета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дорожной полиции Министерства внутренних дел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 для оформления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наследства несовершеннолетним детям"       </w:t>
      </w:r>
    </w:p>
    <w:bookmarkEnd w:id="64"/>
    <w:bookmarkStart w:name="z273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6515100" cy="90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7818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245100" cy="182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74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6070600" cy="90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791200" cy="434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943600" cy="207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75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6654800" cy="99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769100" cy="434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731000" cy="234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76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Уведомления, предоставляемые получателю</w:t>
      </w:r>
    </w:p>
    <w:bookmarkEnd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"Уведомления" в личном кабинете на портале "электронного правительства", а также передается в систему ИС ЦОН.</w:t>
      </w:r>
    </w:p>
    <w:bookmarkStart w:name="z277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отрицательного ответа (отказ)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bookmarkEnd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bookmarkStart w:name="z278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"Выдача справок в пенсионные фонды,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банки для распоряжения вкладами несовершеннолетних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детей, в территориальные подразделения Комитета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дорожной полиции Министерства внутренних дел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 для оформления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наследства несовершеннолетним детям"      </w:t>
      </w:r>
    </w:p>
    <w:bookmarkEnd w:id="70"/>
    <w:bookmarkStart w:name="z279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услуги: "качество" и "доступность"</w:t>
      </w:r>
    </w:p>
    <w:bookmarkEnd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 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280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 Костанайской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22 ноября 2012 года № 527        </w:t>
      </w:r>
    </w:p>
    <w:bookmarkEnd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"Выдача справок органов,</w:t>
      </w:r>
      <w:r>
        <w:br/>
      </w:r>
      <w:r>
        <w:rPr>
          <w:rFonts w:ascii="Times New Roman"/>
          <w:b/>
          <w:i w:val="false"/>
          <w:color w:val="000000"/>
        </w:rPr>
        <w:t>
осуществляющих функции по опеке или</w:t>
      </w:r>
      <w:r>
        <w:br/>
      </w:r>
      <w:r>
        <w:rPr>
          <w:rFonts w:ascii="Times New Roman"/>
          <w:b/>
          <w:i w:val="false"/>
          <w:color w:val="000000"/>
        </w:rPr>
        <w:t>
попечительству для оформления сделок с</w:t>
      </w:r>
      <w:r>
        <w:br/>
      </w:r>
      <w:r>
        <w:rPr>
          <w:rFonts w:ascii="Times New Roman"/>
          <w:b/>
          <w:i w:val="false"/>
          <w:color w:val="000000"/>
        </w:rPr>
        <w:t>
имуществом, принадлежащим на праве собственности</w:t>
      </w:r>
      <w:r>
        <w:br/>
      </w:r>
      <w:r>
        <w:rPr>
          <w:rFonts w:ascii="Times New Roman"/>
          <w:b/>
          <w:i w:val="false"/>
          <w:color w:val="000000"/>
        </w:rPr>
        <w:t>
несовершеннолетним детям"</w:t>
      </w:r>
    </w:p>
    <w:bookmarkStart w:name="z281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73"/>
    <w:bookmarkStart w:name="z282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Электронная государственная услуга 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 (далее – электронная государственная услуга) оказывается отделами образования районов и городов Костанайской области (далее – услугодатель), на безальтернативной основе через Центры обслуживания населения (далее - Центр), а также через веб-портал "электронного правительства":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детям", утвержденного постановлением Правительства Республики Казахстан от 31 августа 2012 года </w:t>
      </w:r>
      <w:r>
        <w:rPr>
          <w:rFonts w:ascii="Times New Roman"/>
          <w:b w:val="false"/>
          <w:i w:val="false"/>
          <w:color w:val="000000"/>
          <w:sz w:val="28"/>
        </w:rPr>
        <w:t>№ 1119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АРМ –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 (далее –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 (далее - ЕНИС);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ГБД ФЛ – государственная база данных "Физические лица";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информационная система центров обслуживания населения Республики Казахстан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 (далее – ИС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получатель государственной услуги – физическое лицо (далее - получатель);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электронный документ – документ, в котором информация представлена в электронно-цифровой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веб–портал "электронного правительства"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региональный шлюз "электронного правительства" - обеспечивает информационное взаимодействие между внутренними системами/подсистемами местного исполнительного органа и внешними информационными системами, участвующими в процессе оказания электронных услуг местным исполнительным органом (далее -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шлюз "электронного правительства" – информационная система, предназначенная для интеграции информационных систем "электронного правительства" в рамках реализации электронных услуг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ЭЦП).</w:t>
      </w:r>
    </w:p>
    <w:bookmarkEnd w:id="74"/>
    <w:bookmarkStart w:name="z302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</w:t>
      </w:r>
      <w:r>
        <w:br/>
      </w:r>
      <w:r>
        <w:rPr>
          <w:rFonts w:ascii="Times New Roman"/>
          <w:b/>
          <w:i w:val="false"/>
          <w:color w:val="000000"/>
        </w:rPr>
        <w:t>
по оказанию электронной государственной услуги</w:t>
      </w:r>
    </w:p>
    <w:bookmarkEnd w:id="75"/>
    <w:bookmarkStart w:name="z303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ПЭП (диаграмма № 1 функционального взаимодействия)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осуществляет регистрацию на ПЭП с помощью ИИН и пароля (осуществляется для незарегистрированных 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получателем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получателем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получателя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получателем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получателем результата услуги (справка в форме электронного документа), сформированного АРМ РШЭП.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Центр (диаграмма № 3 функционального взаимодействия) при оказании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получателя, а также данных по доверенности представителя получателя (при нотариально удостоверенной доверенности, при ином удостоверении доверенности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получателя, а также в ЕНИС – о данных доверенности представителя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получателем,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получателя),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получателем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получателем через оператора Центра результата электронной государственной услуги (справка в форме бумажного документа),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8. Формы заполнения запроса и ответа на электронную государственную услугу приведены на веб-портале "электронного правительства"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>, а также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портале "электронного правительства" в разделе "История получения услуг", а также при обращении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(в том числе обжалования) по оказанию электронной государственной услуги можно получить по телефону саll–центра ПЭП: (1414).</w:t>
      </w:r>
    </w:p>
    <w:bookmarkEnd w:id="76"/>
    <w:bookmarkStart w:name="z331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электронной государственной услуги</w:t>
      </w:r>
    </w:p>
    <w:bookmarkEnd w:id="77"/>
    <w:bookmarkStart w:name="z332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Структурно-функциональные единицы (далее – СФЕ),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АРМ 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 в соответствии с которыми должен быть представлен результат оказания электронной государственной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получателям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получателям: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 у лица,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наличие пользователя ЭЦП.</w:t>
      </w:r>
    </w:p>
    <w:bookmarkEnd w:id="78"/>
    <w:bookmarkStart w:name="z346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"Выдача справок органов, осуществляющих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функции по опеке или попечительству для оформления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сделок с имуществом, принадлежащим на праве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собственности несовершеннолетним детям"      </w:t>
      </w:r>
    </w:p>
    <w:bookmarkEnd w:id="79"/>
    <w:bookmarkStart w:name="z347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Таблица 1. Описание действий СФЕ через ПЭП  </w:t>
      </w:r>
    </w:p>
    <w:bookmarkEnd w:id="8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49"/>
        <w:gridCol w:w="1200"/>
        <w:gridCol w:w="1044"/>
        <w:gridCol w:w="1359"/>
        <w:gridCol w:w="1144"/>
        <w:gridCol w:w="1243"/>
        <w:gridCol w:w="1183"/>
        <w:gridCol w:w="1085"/>
        <w:gridCol w:w="1222"/>
        <w:gridCol w:w="1220"/>
      </w:tblGrid>
      <w:tr>
        <w:trPr>
          <w:trHeight w:val="645" w:hRule="atLeast"/>
        </w:trPr>
        <w:tc>
          <w:tcPr>
            <w:tcW w:w="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СФЕ, ИС</w:t>
            </w:r>
          </w:p>
        </w:tc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1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</w:tr>
      <w:tr>
        <w:trPr>
          <w:trHeight w:val="360" w:hRule="atLeast"/>
        </w:trPr>
        <w:tc>
          <w:tcPr>
            <w:tcW w:w="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сание</w:t>
            </w:r>
          </w:p>
        </w:tc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ризу-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паролю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ет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</w:p>
        </w:tc>
        <w:tc>
          <w:tcPr>
            <w:tcW w:w="1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ет эле-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ную 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сударс-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твенную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мента</w:t>
            </w:r>
          </w:p>
        </w:tc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</w:p>
        </w:tc>
        <w:tc>
          <w:tcPr>
            <w:tcW w:w="1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2055" w:hRule="atLeast"/>
        </w:trPr>
        <w:tc>
          <w:tcPr>
            <w:tcW w:w="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но-рас-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ние)</w:t>
            </w:r>
          </w:p>
        </w:tc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раже-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1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 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лению</w:t>
            </w:r>
          </w:p>
        </w:tc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1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мента</w:t>
            </w:r>
          </w:p>
        </w:tc>
      </w:tr>
      <w:tr>
        <w:trPr>
          <w:trHeight w:val="360" w:hRule="atLeast"/>
        </w:trPr>
        <w:tc>
          <w:tcPr>
            <w:tcW w:w="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нения</w:t>
            </w:r>
          </w:p>
        </w:tc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–1 мин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</w:p>
        </w:tc>
        <w:tc>
          <w:tcPr>
            <w:tcW w:w="1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–1 мин</w:t>
            </w:r>
          </w:p>
        </w:tc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</w:t>
            </w:r>
          </w:p>
        </w:tc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1 мин</w:t>
            </w:r>
          </w:p>
        </w:tc>
        <w:tc>
          <w:tcPr>
            <w:tcW w:w="1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</w:t>
            </w:r>
          </w:p>
        </w:tc>
      </w:tr>
      <w:tr>
        <w:trPr>
          <w:trHeight w:val="30" w:hRule="atLeast"/>
        </w:trPr>
        <w:tc>
          <w:tcPr>
            <w:tcW w:w="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вия</w:t>
            </w:r>
          </w:p>
        </w:tc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ний нет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bookmarkStart w:name="z348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Таблица 2. Описание действий СФЕ через Центр  </w:t>
      </w:r>
    </w:p>
    <w:bookmarkEnd w:id="8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4"/>
        <w:gridCol w:w="1276"/>
        <w:gridCol w:w="1276"/>
        <w:gridCol w:w="1276"/>
        <w:gridCol w:w="854"/>
        <w:gridCol w:w="1276"/>
        <w:gridCol w:w="995"/>
        <w:gridCol w:w="1277"/>
        <w:gridCol w:w="855"/>
        <w:gridCol w:w="995"/>
        <w:gridCol w:w="655"/>
      </w:tblGrid>
      <w:tr>
        <w:trPr>
          <w:trHeight w:val="495" w:hRule="atLeast"/>
        </w:trPr>
        <w:tc>
          <w:tcPr>
            <w:tcW w:w="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СФЕ, ИС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ЕНИС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1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</w:tr>
      <w:tr>
        <w:trPr>
          <w:trHeight w:val="2475" w:hRule="atLeast"/>
        </w:trPr>
        <w:tc>
          <w:tcPr>
            <w:tcW w:w="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логину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паролю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ЕНИС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ет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невоз-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можности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репле-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нием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 не-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обхо-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1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 (под-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писанно-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го)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мента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ющими-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ся на-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чателя</w:t>
            </w:r>
          </w:p>
        </w:tc>
        <w:tc>
          <w:tcPr>
            <w:tcW w:w="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ги</w:t>
            </w:r>
          </w:p>
        </w:tc>
      </w:tr>
      <w:tr>
        <w:trPr>
          <w:trHeight w:val="645" w:hRule="atLeast"/>
        </w:trPr>
        <w:tc>
          <w:tcPr>
            <w:tcW w:w="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зационно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-распо-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систе-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нию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проса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раже-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проса</w:t>
            </w:r>
          </w:p>
        </w:tc>
        <w:tc>
          <w:tcPr>
            <w:tcW w:w="1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лению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раже-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мента</w:t>
            </w:r>
          </w:p>
        </w:tc>
      </w:tr>
      <w:tr>
        <w:trPr>
          <w:trHeight w:val="300" w:hRule="atLeast"/>
        </w:trPr>
        <w:tc>
          <w:tcPr>
            <w:tcW w:w="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</w:p>
        </w:tc>
        <w:tc>
          <w:tcPr>
            <w:tcW w:w="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–1 мин</w:t>
            </w:r>
          </w:p>
        </w:tc>
        <w:tc>
          <w:tcPr>
            <w:tcW w:w="1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</w:t>
            </w:r>
          </w:p>
        </w:tc>
        <w:tc>
          <w:tcPr>
            <w:tcW w:w="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–1 мин</w:t>
            </w:r>
          </w:p>
        </w:tc>
        <w:tc>
          <w:tcPr>
            <w:tcW w:w="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</w:t>
            </w:r>
          </w:p>
        </w:tc>
      </w:tr>
      <w:tr>
        <w:trPr>
          <w:trHeight w:val="825" w:hRule="atLeast"/>
        </w:trPr>
        <w:tc>
          <w:tcPr>
            <w:tcW w:w="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bookmarkStart w:name="z349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данной таблице перечисляются действия (функции, процедуры, операции) всех СФЕ с указанием форм завершения, сроков исполнения и указанием номеров последующих действий в технологической цепочке процесса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основании таблиц 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строятся диаграммы функционального взаимодействия при оказании электронных государственных услуг.</w:t>
      </w:r>
    </w:p>
    <w:bookmarkEnd w:id="82"/>
    <w:bookmarkStart w:name="z350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"Выдача справок органов, осуществляющих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функции по опеке или попечительству для оформления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сделок с имуществом, принадлежащим на праве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собственности несовершеннолетним детям"      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78105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51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1. Диаграмма функционального взаимодействия при оказании электронной государственной услуги через ПЭП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76200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52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2. Диаграмма функционального взаимодействия при оказании электронной государственной услуги через Центр</w:t>
      </w:r>
    </w:p>
    <w:bookmarkEnd w:id="85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 xml:space="preserve">Таблица. Условные обозначения 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3"/>
        <w:gridCol w:w="9293"/>
      </w:tblGrid>
      <w:tr>
        <w:trPr>
          <w:trHeight w:val="705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Информационная система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017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17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конечному получателю</w:t>
            </w:r>
          </w:p>
        </w:tc>
      </w:tr>
    </w:tbl>
    <w:bookmarkStart w:name="z353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Типовое оформление диаграммы приведено в графической нотации BPMN 1.2, используемой для моделирования бизнес-процессов. Моделирование в BPMN осуществляется посредством диаграмм с небольшим числом графических элементов. Это помогает получателям быстро понимать логику процесса. Выделяют четыре основные категории элементов: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объекты потока управления: события, действия и логические операторы;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соединяющие объекты: поток управления, поток сообщений и ассоциации;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роли: пулы и дорожки;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артефакты: данные, группы и текстовые аннотации.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Элементы этих четырех категорий позволяют строить диаграммы бизнес процессов. Для повышения выразительности модели спецификация разрешает создавать новые типы объектов потока управления и артефактов, которые должны быть приведены в разделе "Примечания".</w:t>
      </w:r>
    </w:p>
    <w:bookmarkEnd w:id="86"/>
    <w:bookmarkStart w:name="z358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"Выдача справок органов, осуществляющих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функции по опеке или попечительству для оформления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сделок с имуществом, принадлежащим на праве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собственности несовершеннолетним детям"      </w:t>
      </w:r>
    </w:p>
    <w:bookmarkEnd w:id="87"/>
    <w:bookmarkStart w:name="z359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Экранная форма заявления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88"/>
    <w:p>
      <w:pPr>
        <w:spacing w:after="0"/>
        <w:ind w:left="0"/>
        <w:jc w:val="both"/>
      </w:pPr>
      <w:r>
        <w:drawing>
          <wp:inline distT="0" distB="0" distL="0" distR="0">
            <wp:extent cx="5537200" cy="78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956300" cy="566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562600" cy="209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60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Экранная форма заявления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6438900" cy="91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4389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146800" cy="236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61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"Выдача справок органов, осуществляющих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функции по опеке или попечительству для оформления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сделок с имуществом, принадлежащим на праве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собственности несовершеннолетним детям"       </w:t>
      </w:r>
    </w:p>
    <w:bookmarkEnd w:id="90"/>
    <w:bookmarkStart w:name="z362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66421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832600" cy="457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464300" cy="259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63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Уведомления, предоставляемые получателю</w:t>
      </w:r>
    </w:p>
    <w:bookmarkEnd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"Уведомления" в личном кабинете на портале "электронного правительства", а также передается в систему ИС ЦОН.</w:t>
      </w:r>
    </w:p>
    <w:bookmarkStart w:name="z364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отрицательного ответа (отказ)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bookmarkEnd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bookmarkStart w:name="z365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"Выдача справок органов, осуществляющих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функции по опеке или попечительству для оформления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сделок с имуществом, принадлежащим на праве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собственности несовершеннолетним детям"      </w:t>
      </w:r>
    </w:p>
    <w:bookmarkEnd w:id="94"/>
    <w:bookmarkStart w:name="z366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услуги: "качество" и "доступность"  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
(наименование услуги)</w:t>
      </w:r>
    </w:p>
    <w:bookmarkEnd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9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header.xml" Type="http://schemas.openxmlformats.org/officeDocument/2006/relationships/header" Id="rId9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