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00112f7" w14:textId="00112f7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электронных государственных услуг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Костанайской области от 26 ноября 2012 года № 530. Зарегистрировано Департаментом юстиции Костанайской области 20 декабря 2012 года № 3941. Утратило силу - Постановлением акимата Костанайской области от 20 ноября 2013 года № 508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  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сохранена авторская орфография и пунктуация.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
      Сноска. Утратило силу - Постановлением акимата Костанайской области от 20.11.2013 № 508 (вводится в действие со дня подписания).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статьей 9-1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27 ноября 2000 года "Об административных процедурах", </w:t>
      </w:r>
      <w:r>
        <w:rPr>
          <w:rFonts w:ascii="Times New Roman"/>
          <w:b w:val="false"/>
          <w:i w:val="false"/>
          <w:color w:val="000000"/>
          <w:sz w:val="28"/>
        </w:rPr>
        <w:t>статьей 29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11 января 2007 года "Об информатизации" акимат Костанайской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 </w:t>
      </w:r>
      <w:r>
        <w:rPr>
          <w:rFonts w:ascii="Times New Roman"/>
          <w:b w:val="false"/>
          <w:i w:val="false"/>
          <w:color w:val="000000"/>
          <w:sz w:val="28"/>
        </w:rPr>
        <w:t>регламенты</w:t>
      </w:r>
      <w:r>
        <w:rPr>
          <w:rFonts w:ascii="Times New Roman"/>
          <w:b w:val="false"/>
          <w:i w:val="false"/>
          <w:color w:val="000000"/>
          <w:sz w:val="28"/>
        </w:rPr>
        <w:t xml:space="preserve"> электронных государственных услуг: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"</w:t>
      </w:r>
      <w:r>
        <w:rPr>
          <w:rFonts w:ascii="Times New Roman"/>
          <w:b w:val="false"/>
          <w:i w:val="false"/>
          <w:color w:val="000000"/>
          <w:sz w:val="28"/>
        </w:rPr>
        <w:t>Выдача</w:t>
      </w:r>
      <w:r>
        <w:rPr>
          <w:rFonts w:ascii="Times New Roman"/>
          <w:b w:val="false"/>
          <w:i w:val="false"/>
          <w:color w:val="000000"/>
          <w:sz w:val="28"/>
        </w:rPr>
        <w:t xml:space="preserve"> справок безработным гражданам";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"</w:t>
      </w:r>
      <w:r>
        <w:rPr>
          <w:rFonts w:ascii="Times New Roman"/>
          <w:b w:val="false"/>
          <w:i w:val="false"/>
          <w:color w:val="000000"/>
          <w:sz w:val="28"/>
        </w:rPr>
        <w:t>Оформление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документов для материального обеспечения детей-инвалидов, обучающихся и воспитывающихся на дому".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постановления возложить на заместителя акима области Бектурганова С.Ч.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Аким области                               Н. Садуакасов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СОГЛАСОВАНО: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Министр транспорта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и коммуникаций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Республики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________ А. Жумагалиев</w:t>
      </w:r>
    </w:p>
    <w:bookmarkStart w:name="z7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"26" ноября 2012 года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530          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"Выдача справок безработным гражданам"</w:t>
      </w:r>
    </w:p>
    <w:bookmarkStart w:name="z8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"/>
    <w:bookmarkStart w:name="z9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"Выдача справок безработным гражданам" (далее – электронная государственная услуга)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статьи 29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11 января 2007 года "Об информатизации",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справок безработным гражданам", утвержденным постановлением Правительства Республики Казахстан от 7 апреля 2011 года </w:t>
      </w:r>
      <w:r>
        <w:rPr>
          <w:rFonts w:ascii="Times New Roman"/>
          <w:b w:val="false"/>
          <w:i w:val="false"/>
          <w:color w:val="000000"/>
          <w:sz w:val="28"/>
        </w:rPr>
        <w:t>№ 394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сфере социальной защиты, оказываемых местными исполнительными органами"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отделами занятости и социальных программ районов и городов Костанайской области (далее – услугодатель), на альтернативной основе через центр обслуживания населения по месту жительства (далее - ЦОН), указанные в 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через веб-портал "электронного правительства" по адресу: www.e.gov.kz., при условии наличия у потребителя электронной цифровой подписи.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частично автоматизированная (электронная государственная 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транзакционная услуга.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Результатом оказываемой государственной услуги является выдача потребителю справки о регистрации в качестве безработного (далее - справка), либо мотивированный ответ об отказе в предоставлении услуги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в уполномоченный орган: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предоставления государственной услуги с момента предъявления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- не более 10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 (при регистрации, получении талона, с момента обращения и подачи электронного запроса) - 10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потребителя, оказываемой на месте в день обращения потребителя - 10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в ЦОН с момента сдачи потребителем необходимых документов: три рабочих дня (день приема и день выдачи документов не входят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максимально допустимое время ожидания в очереди при сдаче необходимых документов - 30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в очереди до получения государственной услуги, оказываемой на месте в день обращения потребителя - 30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потребителя, оказываемой на месте в день обращения потребителя - 30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Понятия и сокращения, используемые в 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электронной  государственной услуги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–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– система, предназначенная для хранения, обработки, поиска, распространения, передачи и предоставления информации с применением аппаратно – программного комплекса (далее – ИС);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индивидуальный идентификационный номер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 (далее – ИИН);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государственная база данных "Физические лица" – информационная система, предназначенная для автоматизированного сбора, хранения и обработки информации, создания Национального реестра индивидуальных идентификационных номеров с целью внедрения единой идентификации физических лиц в Республике Казахстан и предоставления о них актуальных и достоверных сведений органам государственного управления и прочим субъектам в рамках их полномочий и в соответствии с законодательством Республики Казахстан (далее – ГБД ФЛ);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потребитель – физическое лицо, которому оказывается электронная государственная услуга (граждане Республики Казахстан, оралманы, иностранцы, лица без гражданства, постоянно проживающие в Республике Казахстан);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структурно–функциональные единицы - перечень структурных подразделений государственных органов, учреждений или иных организаций, информационные системы, которые участвуют в процессе оказания услуги (далее - СФЕ);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информационная система центров обслуживания населения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 (далее – ИС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ЦОН – центр обслуживания населения;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электронный документ – документ, в котором информация представлена в электронно-цифровой форме и удостоверена посредством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электронные государственные услуги – государственные услуги, оказываемые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региональный шлюз "электронного правительства" - подсистема шлюза "электронного правительства", предназначенная для интеграции информационных систем "электронного акимата" в рамках реализации электронных услуг (далее - РШЭП);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веб-портал "электронного правительства"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 (далее –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шлюз "электронного правительства" - информационная система, предназначенная для интеграции информационных систем "электронного правительства" в рамках реализации электронных услуг (далее - 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электронная цифровая подпись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 (далее – ЭЦП);</w:t>
      </w:r>
    </w:p>
    <w:bookmarkEnd w:id="4"/>
    <w:bookmarkStart w:name="z16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</w:t>
      </w:r>
      <w:r>
        <w:br/>
      </w:r>
      <w:r>
        <w:rPr>
          <w:rFonts w:ascii="Times New Roman"/>
          <w:b/>
          <w:i w:val="false"/>
          <w:color w:val="000000"/>
        </w:rPr>
        <w:t>
по оказанию электронной государственной услуги</w:t>
      </w:r>
    </w:p>
    <w:bookmarkEnd w:id="5"/>
    <w:bookmarkStart w:name="z17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Пошаговые действия и решения услугодателя через ПЭП (</w:t>
      </w:r>
      <w:r>
        <w:rPr>
          <w:rFonts w:ascii="Times New Roman"/>
          <w:b w:val="false"/>
          <w:i w:val="false"/>
          <w:color w:val="000000"/>
          <w:sz w:val="28"/>
        </w:rPr>
        <w:t>диаграмма № 1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        2) процесс 1 – ввод потребителем ИИН и пароля (процесс авторизации) на ПЭП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ПЭПом сообщения об отказе в авторизации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электронной государственной услуги, указанной в настоящем 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>, вывод на экран формы запроса для оказания 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электронной государственной услуге в связи с не 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 услуги посредством ЭЦП потребителя и направление электронного документа (запроса) через ШЭП в АРМ РШЭП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услугодателем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электронной государственной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потребителем результата электронной государственной услуги (справка о регистрации в качестве безработного), сформированный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Пошаговые действия и решения услугодателя (</w:t>
      </w:r>
      <w:r>
        <w:rPr>
          <w:rFonts w:ascii="Times New Roman"/>
          <w:b w:val="false"/>
          <w:i w:val="false"/>
          <w:color w:val="000000"/>
          <w:sz w:val="28"/>
        </w:rPr>
        <w:t>диаграмма № 2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сотрудником услугодателя в АРМ РШЭП ИИН и пароля (процесс авторизации)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сотрудником услугодателя электронной государственной услуги, указанной в настоящем 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>, вывод на экран формы запроса для оказания электронной государственной услуги и ввод сотрудником услугодателя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сотрудником услугодателя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условие 2 – проверка (обработка) услугодателем соответствия приложенных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7 - формирование сообщения об отказе в запрашиваемой электронной государственной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получение потребителем результата электронной государственной услуги (справка о регистрации в качестве безработного) сформированной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Пошаговые действия и решения услугодателя через ЦОН (</w:t>
      </w:r>
      <w:r>
        <w:rPr>
          <w:rFonts w:ascii="Times New Roman"/>
          <w:b w:val="false"/>
          <w:i w:val="false"/>
          <w:color w:val="000000"/>
          <w:sz w:val="28"/>
        </w:rPr>
        <w:t>диаграмма № 3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ЦОН в АРМ ИС ЦОН логина и пароля (процесс авторизации)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ЦОН электронной государственной услуги, указанной в настоящем 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>, вывод на экран формы запроса для оказания электронной государственной услуги и ввод оператором ЦОН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ЦОН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6 - направление электронного документа (запроса потребителя) удостоверенного (подписанного) ЭЦП оператора ЦОН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услугодателем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8 - формирование сообщения об отказе в запрашиваемой электронной государственной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потребителем через оператора ЦОН результата электронной государственной услуги (справка о регистрации в качестве безработного) сформированной АРМ РШЭП.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Экранная форма запроса на электронную государственную услугу в случае получения электронной государственной услуги посредством ПЭП представлены на веб-портале "электронного правительства" www.egov.kz., а также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Способ проверки потребителем статуса исполнения запроса по электронной государственной услуге: на веб-портале "электронного правительства" в разделе "История получения услуг", а также при обращении в уполномоченный орган /ЦОН.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Необходимую информацию и консультацию по оказанию электронной государственной услуги можно получить по телефону саll–центра ПЭП: (1414).</w:t>
      </w:r>
    </w:p>
    <w:bookmarkEnd w:id="6"/>
    <w:bookmarkStart w:name="z23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 электронной государственной услуги</w:t>
      </w:r>
    </w:p>
    <w:bookmarkEnd w:id="7"/>
    <w:bookmarkStart w:name="z24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СФЕ,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Услугодатель;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Оператора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АРМ ИС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ГБД ФЛ.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Текстовое табличное описание последовательности действий (процедур, функций, операций) СФЕ с указанием срока выполнения каждого действия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представлены диаграммы, отражающие взаимосвязь между логической последовательностью действий (в процессе оказания электронной государственной услуги) структурных подразделений государственных органов, государственных учреждений или иных организаций в соответствии с их описаниями.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Результаты оказания электронной государственной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представлены формы, шаблоны бланков в соответствии с которыми должен быть представлен результат оказания электронной государственной услуги (выходной документ), включая формы уведомления.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19. Требования, предъявляемые к процессу оказания электронной государственной услуги потребителям: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обеспечение сохранности, защиты и конфиденциальности информации, содержащейся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иные требования, необходимые для защиты прав потребителя.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20. Техническое условие оказания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выход в Интернет;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наличие ИИН у лица, которому оказывается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авторизация с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наличие у пользователя ЭЦП.</w:t>
      </w:r>
    </w:p>
    <w:bookmarkEnd w:id="8"/>
    <w:bookmarkStart w:name="z31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справок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безработным гражданам"  </w:t>
      </w:r>
    </w:p>
    <w:bookmarkEnd w:id="9"/>
    <w:bookmarkStart w:name="z32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СФЕ через ПЭП</w:t>
      </w:r>
    </w:p>
    <w:bookmarkEnd w:id="1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3"/>
        <w:gridCol w:w="3053"/>
        <w:gridCol w:w="2353"/>
        <w:gridCol w:w="2333"/>
        <w:gridCol w:w="2593"/>
      </w:tblGrid>
      <w:tr>
        <w:trPr>
          <w:trHeight w:val="675" w:hRule="atLeast"/>
        </w:trPr>
        <w:tc>
          <w:tcPr>
            <w:tcW w:w="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45" w:hRule="atLeast"/>
        </w:trPr>
        <w:tc>
          <w:tcPr>
            <w:tcW w:w="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</w:tr>
      <w:tr>
        <w:trPr>
          <w:trHeight w:val="795" w:hRule="atLeast"/>
        </w:trPr>
        <w:tc>
          <w:tcPr>
            <w:tcW w:w="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2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ПЭП по ИИН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пароля</w:t>
            </w:r>
          </w:p>
        </w:tc>
        <w:tc>
          <w:tcPr>
            <w:tcW w:w="2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</w:p>
        </w:tc>
        <w:tc>
          <w:tcPr>
            <w:tcW w:w="2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данные запроса,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</w:p>
        </w:tc>
      </w:tr>
      <w:tr>
        <w:trPr>
          <w:trHeight w:val="1080" w:hRule="atLeast"/>
        </w:trPr>
        <w:tc>
          <w:tcPr>
            <w:tcW w:w="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 документ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запрашиваемой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ной услуге</w:t>
            </w:r>
          </w:p>
        </w:tc>
        <w:tc>
          <w:tcPr>
            <w:tcW w:w="2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</w:tr>
      <w:tr>
        <w:trPr>
          <w:trHeight w:val="300" w:hRule="atLeast"/>
        </w:trPr>
        <w:tc>
          <w:tcPr>
            <w:tcW w:w="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825" w:hRule="atLeast"/>
        </w:trPr>
        <w:tc>
          <w:tcPr>
            <w:tcW w:w="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2– если 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3–если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прошла успешно</w:t>
            </w:r>
          </w:p>
        </w:tc>
        <w:tc>
          <w:tcPr>
            <w:tcW w:w="2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5–если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нарушений нет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033"/>
        <w:gridCol w:w="2033"/>
        <w:gridCol w:w="1973"/>
        <w:gridCol w:w="2133"/>
        <w:gridCol w:w="2533"/>
      </w:tblGrid>
      <w:tr>
        <w:trPr>
          <w:trHeight w:val="675" w:hRule="atLeast"/>
        </w:trPr>
        <w:tc>
          <w:tcPr>
            <w:tcW w:w="2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2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2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связи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данных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</w:p>
        </w:tc>
        <w:tc>
          <w:tcPr>
            <w:tcW w:w="2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(подписание)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посредством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направ-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ление зап-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роса в АРМ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</w:t>
            </w:r>
          </w:p>
        </w:tc>
        <w:tc>
          <w:tcPr>
            <w:tcW w:w="1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</w:p>
        </w:tc>
        <w:tc>
          <w:tcPr>
            <w:tcW w:w="2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связи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документах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</w:p>
        </w:tc>
        <w:tc>
          <w:tcPr>
            <w:tcW w:w="2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</w:tr>
      <w:tr>
        <w:trPr>
          <w:trHeight w:val="1080" w:hRule="atLeast"/>
        </w:trPr>
        <w:tc>
          <w:tcPr>
            <w:tcW w:w="2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запрашивае-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мой 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</w:t>
            </w:r>
          </w:p>
        </w:tc>
        <w:tc>
          <w:tcPr>
            <w:tcW w:w="2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ция запроса</w:t>
            </w:r>
          </w:p>
        </w:tc>
        <w:tc>
          <w:tcPr>
            <w:tcW w:w="1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заявлению</w:t>
            </w:r>
          </w:p>
        </w:tc>
        <w:tc>
          <w:tcPr>
            <w:tcW w:w="2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 отказа</w:t>
            </w:r>
          </w:p>
        </w:tc>
        <w:tc>
          <w:tcPr>
            <w:tcW w:w="2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выходного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</w:p>
        </w:tc>
      </w:tr>
      <w:tr>
        <w:trPr>
          <w:trHeight w:val="300" w:hRule="atLeast"/>
        </w:trPr>
        <w:tc>
          <w:tcPr>
            <w:tcW w:w="2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 1 минута</w:t>
            </w:r>
          </w:p>
        </w:tc>
        <w:tc>
          <w:tcPr>
            <w:tcW w:w="1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минут</w:t>
            </w:r>
          </w:p>
        </w:tc>
      </w:tr>
      <w:tr>
        <w:trPr>
          <w:trHeight w:val="825" w:hRule="atLeast"/>
        </w:trPr>
        <w:tc>
          <w:tcPr>
            <w:tcW w:w="2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</w:tc>
        <w:tc>
          <w:tcPr>
            <w:tcW w:w="2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33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Описание действий СФЕ через услугодателя</w:t>
      </w:r>
    </w:p>
    <w:bookmarkEnd w:id="1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2"/>
        <w:gridCol w:w="2104"/>
        <w:gridCol w:w="2008"/>
        <w:gridCol w:w="2066"/>
        <w:gridCol w:w="2465"/>
        <w:gridCol w:w="2625"/>
      </w:tblGrid>
      <w:tr>
        <w:trPr>
          <w:trHeight w:val="675" w:hRule="atLeast"/>
        </w:trPr>
        <w:tc>
          <w:tcPr>
            <w:tcW w:w="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2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Улугодатель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</w:t>
            </w:r>
          </w:p>
        </w:tc>
      </w:tr>
      <w:tr>
        <w:trPr>
          <w:trHeight w:val="2055" w:hRule="atLeast"/>
        </w:trPr>
        <w:tc>
          <w:tcPr>
            <w:tcW w:w="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описание</w:t>
            </w:r>
          </w:p>
        </w:tc>
        <w:tc>
          <w:tcPr>
            <w:tcW w:w="2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АРМ РШЭП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через ИИН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пароля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  <w:tc>
          <w:tcPr>
            <w:tcW w:w="2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отсутствии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 ГБД ФЛ</w:t>
            </w:r>
          </w:p>
        </w:tc>
      </w:tr>
      <w:tr>
        <w:trPr>
          <w:trHeight w:val="1695" w:hRule="atLeast"/>
        </w:trPr>
        <w:tc>
          <w:tcPr>
            <w:tcW w:w="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но–распоря-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системе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заявлению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успешном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</w:p>
        </w:tc>
      </w:tr>
      <w:tr>
        <w:trPr>
          <w:trHeight w:val="570" w:hRule="atLeast"/>
        </w:trPr>
        <w:tc>
          <w:tcPr>
            <w:tcW w:w="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2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10–15 секунд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секунд</w:t>
            </w:r>
          </w:p>
        </w:tc>
        <w:tc>
          <w:tcPr>
            <w:tcW w:w="2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секунд</w:t>
            </w:r>
          </w:p>
        </w:tc>
      </w:tr>
      <w:tr>
        <w:trPr>
          <w:trHeight w:val="1020" w:hRule="atLeast"/>
        </w:trPr>
        <w:tc>
          <w:tcPr>
            <w:tcW w:w="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если 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нарушений нет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290"/>
        <w:gridCol w:w="2773"/>
        <w:gridCol w:w="3278"/>
        <w:gridCol w:w="3359"/>
      </w:tblGrid>
      <w:tr>
        <w:trPr>
          <w:trHeight w:val="675" w:hRule="atLeast"/>
        </w:trPr>
        <w:tc>
          <w:tcPr>
            <w:tcW w:w="2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3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2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3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3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2055" w:hRule="atLeast"/>
        </w:trPr>
        <w:tc>
          <w:tcPr>
            <w:tcW w:w="2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формы 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прикреп-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сканированных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</w:p>
        </w:tc>
        <w:tc>
          <w:tcPr>
            <w:tcW w:w="2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 в АРМ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</w:t>
            </w:r>
          </w:p>
        </w:tc>
        <w:tc>
          <w:tcPr>
            <w:tcW w:w="3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отказе в связи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</w:p>
        </w:tc>
        <w:tc>
          <w:tcPr>
            <w:tcW w:w="3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 услуги</w:t>
            </w:r>
          </w:p>
        </w:tc>
      </w:tr>
      <w:tr>
        <w:trPr>
          <w:trHeight w:val="1695" w:hRule="atLeast"/>
        </w:trPr>
        <w:tc>
          <w:tcPr>
            <w:tcW w:w="2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 заявлению</w:t>
            </w:r>
          </w:p>
        </w:tc>
        <w:tc>
          <w:tcPr>
            <w:tcW w:w="3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</w:p>
        </w:tc>
        <w:tc>
          <w:tcPr>
            <w:tcW w:w="3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справки</w:t>
            </w:r>
          </w:p>
        </w:tc>
      </w:tr>
      <w:tr>
        <w:trPr>
          <w:trHeight w:val="570" w:hRule="atLeast"/>
        </w:trPr>
        <w:tc>
          <w:tcPr>
            <w:tcW w:w="2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секунд</w:t>
            </w:r>
          </w:p>
        </w:tc>
        <w:tc>
          <w:tcPr>
            <w:tcW w:w="2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3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3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минут</w:t>
            </w:r>
          </w:p>
        </w:tc>
      </w:tr>
      <w:tr>
        <w:trPr>
          <w:trHeight w:val="1020" w:hRule="atLeast"/>
        </w:trPr>
        <w:tc>
          <w:tcPr>
            <w:tcW w:w="2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7– если 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8–если нарушений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</w:tc>
        <w:tc>
          <w:tcPr>
            <w:tcW w:w="3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3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34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3. Описание действий СФЕ через ЦОН</w:t>
      </w:r>
    </w:p>
    <w:bookmarkEnd w:id="1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93"/>
        <w:gridCol w:w="2473"/>
        <w:gridCol w:w="2193"/>
        <w:gridCol w:w="1853"/>
        <w:gridCol w:w="2113"/>
        <w:gridCol w:w="2313"/>
      </w:tblGrid>
      <w:tr>
        <w:trPr>
          <w:trHeight w:val="675" w:hRule="atLeast"/>
        </w:trPr>
        <w:tc>
          <w:tcPr>
            <w:tcW w:w="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2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 ЦОН</w:t>
            </w:r>
          </w:p>
        </w:tc>
        <w:tc>
          <w:tcPr>
            <w:tcW w:w="1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ЦОН</w:t>
            </w:r>
          </w:p>
        </w:tc>
        <w:tc>
          <w:tcPr>
            <w:tcW w:w="2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ЦОН</w:t>
            </w:r>
          </w:p>
        </w:tc>
        <w:tc>
          <w:tcPr>
            <w:tcW w:w="2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</w:tr>
      <w:tr>
        <w:trPr>
          <w:trHeight w:val="1950" w:hRule="atLeast"/>
        </w:trPr>
        <w:tc>
          <w:tcPr>
            <w:tcW w:w="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2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логину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паролю</w:t>
            </w:r>
          </w:p>
        </w:tc>
        <w:tc>
          <w:tcPr>
            <w:tcW w:w="1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услугу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  <w:tc>
          <w:tcPr>
            <w:tcW w:w="2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невозможности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 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отсутствием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</w:p>
        </w:tc>
      </w:tr>
      <w:tr>
        <w:trPr>
          <w:trHeight w:val="1635" w:hRule="atLeast"/>
        </w:trPr>
        <w:tc>
          <w:tcPr>
            <w:tcW w:w="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ное решение)</w:t>
            </w:r>
          </w:p>
        </w:tc>
        <w:tc>
          <w:tcPr>
            <w:tcW w:w="2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системе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заявлению</w:t>
            </w:r>
          </w:p>
        </w:tc>
        <w:tc>
          <w:tcPr>
            <w:tcW w:w="1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успешном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нии запроса</w:t>
            </w:r>
          </w:p>
        </w:tc>
        <w:tc>
          <w:tcPr>
            <w:tcW w:w="2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ция запроса</w:t>
            </w:r>
          </w:p>
        </w:tc>
        <w:tc>
          <w:tcPr>
            <w:tcW w:w="2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 отказа</w:t>
            </w:r>
          </w:p>
        </w:tc>
      </w:tr>
      <w:tr>
        <w:trPr>
          <w:trHeight w:val="300" w:hRule="atLeast"/>
        </w:trPr>
        <w:tc>
          <w:tcPr>
            <w:tcW w:w="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2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825" w:hRule="atLeast"/>
        </w:trPr>
        <w:tc>
          <w:tcPr>
            <w:tcW w:w="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</w:tc>
        <w:tc>
          <w:tcPr>
            <w:tcW w:w="2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553"/>
        <w:gridCol w:w="2213"/>
        <w:gridCol w:w="2093"/>
        <w:gridCol w:w="2133"/>
        <w:gridCol w:w="2453"/>
      </w:tblGrid>
      <w:tr>
        <w:trPr>
          <w:trHeight w:val="675" w:hRule="atLeast"/>
        </w:trPr>
        <w:tc>
          <w:tcPr>
            <w:tcW w:w="2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2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ЦОН</w:t>
            </w:r>
          </w:p>
        </w:tc>
        <w:tc>
          <w:tcPr>
            <w:tcW w:w="2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ЦОН</w:t>
            </w:r>
          </w:p>
        </w:tc>
        <w:tc>
          <w:tcPr>
            <w:tcW w:w="2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1950" w:hRule="atLeast"/>
        </w:trPr>
        <w:tc>
          <w:tcPr>
            <w:tcW w:w="2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прикреплением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форме 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необходимых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</w:p>
        </w:tc>
        <w:tc>
          <w:tcPr>
            <w:tcW w:w="2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 (под-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писанного)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 в АРМ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</w:t>
            </w:r>
          </w:p>
        </w:tc>
        <w:tc>
          <w:tcPr>
            <w:tcW w:w="2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</w:p>
        </w:tc>
        <w:tc>
          <w:tcPr>
            <w:tcW w:w="2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связи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документах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</w:tr>
      <w:tr>
        <w:trPr>
          <w:trHeight w:val="1635" w:hRule="atLeast"/>
        </w:trPr>
        <w:tc>
          <w:tcPr>
            <w:tcW w:w="2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заявлению</w:t>
            </w:r>
          </w:p>
        </w:tc>
        <w:tc>
          <w:tcPr>
            <w:tcW w:w="2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 отказа</w:t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услуги- справки</w:t>
            </w:r>
          </w:p>
        </w:tc>
      </w:tr>
      <w:tr>
        <w:trPr>
          <w:trHeight w:val="300" w:hRule="atLeast"/>
        </w:trPr>
        <w:tc>
          <w:tcPr>
            <w:tcW w:w="2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рабочих  дня</w:t>
            </w:r>
          </w:p>
        </w:tc>
      </w:tr>
      <w:tr>
        <w:trPr>
          <w:trHeight w:val="825" w:hRule="atLeast"/>
        </w:trPr>
        <w:tc>
          <w:tcPr>
            <w:tcW w:w="2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</w:tc>
        <w:tc>
          <w:tcPr>
            <w:tcW w:w="2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35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справок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безработным гражданам"  </w:t>
      </w:r>
    </w:p>
    <w:bookmarkEnd w:id="13"/>
    <w:bookmarkStart w:name="z36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Диаграмма № 1 функционального взаимодействия при оказании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электронной государственной услуги через ПЭП</w:t>
      </w:r>
    </w:p>
    <w:bookmarkEnd w:id="14"/>
    <w:p>
      <w:pPr>
        <w:spacing w:after="0"/>
        <w:ind w:left="0"/>
        <w:jc w:val="both"/>
      </w:pPr>
      <w:r>
        <w:drawing>
          <wp:inline distT="0" distB="0" distL="0" distR="0">
            <wp:extent cx="7543800" cy="340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7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Диаграмма № 2 функционального взаимодействия при оказании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электронной государственной услуги через услугодателя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7569200" cy="312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8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Диаграмма № 3 функционального взаимодействия при оказании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электронной государственной услуги через ИС ЦОН</w:t>
      </w:r>
    </w:p>
    <w:bookmarkEnd w:id="16"/>
    <w:p>
      <w:pPr>
        <w:spacing w:after="0"/>
        <w:ind w:left="0"/>
        <w:jc w:val="both"/>
      </w:pPr>
      <w:r>
        <w:drawing>
          <wp:inline distT="0" distB="0" distL="0" distR="0">
            <wp:extent cx="7683500" cy="342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9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Условные обозначения</w:t>
      </w:r>
    </w:p>
    <w:bookmarkEnd w:id="17"/>
    <w:p>
      <w:pPr>
        <w:spacing w:after="0"/>
        <w:ind w:left="0"/>
        <w:jc w:val="both"/>
      </w:pPr>
      <w:r>
        <w:drawing>
          <wp:inline distT="0" distB="0" distL="0" distR="0">
            <wp:extent cx="7696200" cy="730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730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0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справок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безработным гражданам"  </w:t>
      </w:r>
    </w:p>
    <w:bookmarkEnd w:id="18"/>
    <w:p>
      <w:pPr>
        <w:spacing w:after="0"/>
        <w:ind w:left="0"/>
        <w:jc w:val="both"/>
      </w:pPr>
      <w:r>
        <w:drawing>
          <wp:inline distT="0" distB="0" distL="0" distR="0">
            <wp:extent cx="7493000" cy="1059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93000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1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справок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безработным гражданам"   </w:t>
      </w:r>
    </w:p>
    <w:bookmarkEnd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 (Выдача справок безработным гражданам) 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442200" cy="1140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42200" cy="1140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264400" cy="925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64400" cy="925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2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Уведомления, предоставляемые потребителю</w:t>
      </w:r>
    </w:p>
    <w:bookmarkEnd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Уведомления поставляются по мере изменения статуса исполнения заявления, либо в случае продления срока оказания услуги. Произвольная строка с текстом уведомления  отражается в разделе "Уведомления" в личном кабинете на портале "электронного правительства".</w:t>
      </w:r>
    </w:p>
    <w:bookmarkStart w:name="z43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Выходная форма отрицательного ответа (отказ) на электронную государственную услугу, предоставляемого потребителю</w:t>
      </w:r>
    </w:p>
    <w:bookmarkEnd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Выходная форма отрицательного ответа предоставляется в произвольной форме в виде письма с текстом обоснования отказа при формировании заключения комиссии.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264400" cy="963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264400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4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5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справок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безработным гражданам"  </w:t>
      </w:r>
    </w:p>
    <w:bookmarkEnd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 электронной государственной услуги: "качество" и "доступность"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 xml:space="preserve">      1. </w:t>
      </w:r>
      <w:r>
        <w:rPr>
          <w:rFonts w:ascii="Times New Roman"/>
          <w:b/>
          <w:i w:val="false"/>
          <w:color w:val="000000"/>
          <w:sz w:val="28"/>
        </w:rPr>
        <w:t xml:space="preserve">Удовлетворены ли Вы </w:t>
      </w:r>
      <w:r>
        <w:rPr>
          <w:rFonts w:ascii="Times New Roman"/>
          <w:b/>
          <w:i w:val="false"/>
          <w:color w:val="000000"/>
          <w:sz w:val="28"/>
        </w:rPr>
        <w:t>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 xml:space="preserve">      2. </w:t>
      </w:r>
      <w:r>
        <w:rPr>
          <w:rFonts w:ascii="Times New Roman"/>
          <w:b/>
          <w:i w:val="false"/>
          <w:color w:val="000000"/>
          <w:sz w:val="28"/>
        </w:rPr>
        <w:t xml:space="preserve">Удовлетворены ли Вы </w:t>
      </w:r>
      <w:r>
        <w:rPr>
          <w:rFonts w:ascii="Times New Roman"/>
          <w:b/>
          <w:i w:val="false"/>
          <w:color w:val="000000"/>
          <w:sz w:val="28"/>
        </w:rPr>
        <w:t>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45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26 ноября 2012 года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530          </w:t>
      </w:r>
    </w:p>
    <w:bookmarkEnd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электронной  государственной услуги "Оформление документов для материального обеспечения</w:t>
      </w:r>
      <w:r>
        <w:br/>
      </w:r>
      <w:r>
        <w:rPr>
          <w:rFonts w:ascii="Times New Roman"/>
          <w:b/>
          <w:i w:val="false"/>
          <w:color w:val="000000"/>
        </w:rPr>
        <w:t>
детей-инвалидов, обучающихся и воспитывающихся на дому"</w:t>
      </w:r>
    </w:p>
    <w:bookmarkStart w:name="z46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24"/>
    <w:bookmarkStart w:name="z47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"Оформление документов для материального обеспечения детей-инвалидов, обучающихся и воспитывающихся на дому" (далее – электронная государственная услуга)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статьи 29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  11 января 2007 года "Об информатизации",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для материального обеспечения детей-инвалидов, обучающихся и воспитывающихся на дому", утвержденного постановлением Правительства Республики Казахстан от 7 апреля 2011 года </w:t>
      </w:r>
      <w:r>
        <w:rPr>
          <w:rFonts w:ascii="Times New Roman"/>
          <w:b w:val="false"/>
          <w:i w:val="false"/>
          <w:color w:val="000000"/>
          <w:sz w:val="28"/>
        </w:rPr>
        <w:t>№ 394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сфере социальной защиты, оказываемых местными исполнительными органами"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предоставляется отделами занятости и социальных программ районов и городов Костанайской области (далее - услугодатель) перечень которых указан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через веб-портал "электронного правительства" по адресу: www.e.gov.kz. при условии наличия у потребителя электронной цифровой подписи.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частично автоматизированная (электронная государственная 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транзакционная услуга.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Результатом оказываемой государственной услуги, является уведомление об оформлении документов для материального обеспечения детей-инвалидов, обучающихся и воспитывающихся на дому (далее - уведомление), либо мотивированный ответ об отказе в предоставлении государственной услуги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- в течение десяти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потребителя, зависит от количества человек в очереди из расчета 15 минут на обслуживание одного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потребителя, оказываемой на месте в день обращения, -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Понятия и сокращения, используемые в 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электронной  государственной услуги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–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– система, предназначенная для хранения, обработки, поиска, распространения, передачи и предоставления информации с применением аппаратно – программного комплекса (далее – ИС);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индивидуальный идентификационный номер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 (далее – ИИН);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государственная база данных "Физические лица" – информационная система, предназначенная для автоматизированного сбора, хранения и обработки информации, создания Национального реестра индивидуальных идентификационных номеров с целью внедрения единой идентификации физических лиц в Республике Казахстан и предоставления о них актуальных и достоверных сведений органам государственного управления и прочим субъектам в рамках их полномочий и в соответствии с законодательством Республики Казахстан (далее – ГБД ФЛ);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потребитель – физическое лицо, которому оказывается электронная государственная услуга (граждане Республики Казахстан, иностранцы и лица без гражданства, постоянно проживающие на территории Республики Казахстан - родители и иные законные представители детей-инвалидов, обучающихся и воспитывающихся на дому);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структурно–функциональные единицы - перечень структурных подразделений государственных органов, учреждений или иных организаций, информационные системы, которые участвуют в процессе оказания услуги (далее - СФЕ);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электронный документ – документ, в котором информация представлена в электронно-цифровой форме и удостоверена посредством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электронные государственные услуги – государственные услуги, оказываемые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региональный шлюз "электронного правительства" - подсистема шлюза "электронного правительства", предназначенная для интеграции информационных систем "электронного акимата" в рамках реализации электронных услуг (далее - РШЭП);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веб-портал "электронного правительства"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 (далее –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шлюз "электронного правительства" - информационная система, предназначенная для интеграции информационных систем "электронного правительства" в рамках реализации электронных услуг (далее - 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электронная цифровая подпись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 (далее – ЭЦП).</w:t>
      </w:r>
    </w:p>
    <w:bookmarkEnd w:id="25"/>
    <w:bookmarkStart w:name="z54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 электронной государственной услуги</w:t>
      </w:r>
    </w:p>
    <w:bookmarkEnd w:id="26"/>
    <w:bookmarkStart w:name="z55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Пошаговые действия и решения услугодателя через ПЭП (</w:t>
      </w:r>
      <w:r>
        <w:rPr>
          <w:rFonts w:ascii="Times New Roman"/>
          <w:b w:val="false"/>
          <w:i w:val="false"/>
          <w:color w:val="000000"/>
          <w:sz w:val="28"/>
        </w:rPr>
        <w:t>диаграмма № 1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        2) процесс 1 – ввод потребителем ИИН и пароля (процесс авторизации) на ПЭП для получения электронной государственной услуги;        3) условие 1 –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ПЭПом сообщения об отказе в авторизации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электронной государственной услуги, указанной в настоящем 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>, вывод на экран формы запроса для оказания электронной государственной 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электронной государственной услуге в связи с не 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 услуги посредством ЭЦП потребителя и направление электронного документа (запроса) через ШЭП в АРМ РШЭП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услугодателем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электронной государственной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потребителем результата электронной государственной услуги (уведомление в форме электронного документа), сформированный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Пошаговые действия и решения услугодателя (</w:t>
      </w:r>
      <w:r>
        <w:rPr>
          <w:rFonts w:ascii="Times New Roman"/>
          <w:b w:val="false"/>
          <w:i w:val="false"/>
          <w:color w:val="000000"/>
          <w:sz w:val="28"/>
        </w:rPr>
        <w:t>диаграмма № 2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сотрудником услугодателя в АРМ РШЭП  ИИН и пароля (процесс авторизации)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сотрудником услугодателя электронной государственной услуги, указанной в настоящем 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>, вывод на экран формы запроса для оказания электронной государственной услуги и ввод сотрудником услугодателя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сотрудником услугодателя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условие 2 – проверка (обработка) услугодателем соответствия приложенных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7 - формирование сообщения об отказе в запрашиваемой электронной государственной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получение потребителем результата электронной государственной услуги (уведомление об оформлении документов) сформированной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Экранная форма запроса на электронную государственную услугу в случае получения электронной государственной услуги посредством ПЭП представлены на веб-портале "электронного правительства" www.egov.kz., а также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Способ проверки потребителем статуса исполнения запроса по электронной государственной услуге: на портале "электронного правительства" в разделе "История получения услуг", а также при обращении в уполномоченный орган.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Необходимую информацию и консультацию по оказанию электронной государственной услуги можно получить по телефону саll–центра ПЭП: (1414).</w:t>
      </w:r>
    </w:p>
    <w:bookmarkEnd w:id="27"/>
    <w:bookmarkStart w:name="z60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 электронной государственной услуги</w:t>
      </w:r>
    </w:p>
    <w:bookmarkEnd w:id="28"/>
    <w:bookmarkStart w:name="z61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СФЕ,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Услугодатель;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ГБД ФЛ.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Текстовое табличное описание последовательности действий (процедур, функций, операций) СФЕ с указанием срока выполнения каждого действия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представлены диаграммы, отражающие взаимосвязь между логической последовательностью действий (в процессе оказания электронной государственной услуги) структурных подразделений государственных органов, государственных учреждений или иных организаций  в соответствии с их описаниями.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Результаты оказания электронной государственной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представлены формы, шаблоны бланков в соответствии с которыми должен быть представлен результат оказания электронной государственной услуги (выходной документ), включая формы уведомления.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Требования, предъявляемые к процессу оказания электронной государственной услуги потребителям: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обеспечение сохранности, защиты и конфиденциальности информации, содержащейся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иные требования, необходимые для защиты прав потребителя.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19. Техническое условие оказания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выход в Интернет;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наличие ИИН у лица, которому оказывается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авторизация с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наличие у пользователя ЭЦП.</w:t>
      </w:r>
    </w:p>
    <w:bookmarkEnd w:id="29"/>
    <w:bookmarkStart w:name="z68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"Оформление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документов для материального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обеспечения детей-инвалидов,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обучающихся и воспитывающихся на дому" </w:t>
      </w:r>
    </w:p>
    <w:bookmarkEnd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СФЕ через ПЭП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3"/>
        <w:gridCol w:w="2913"/>
        <w:gridCol w:w="2273"/>
        <w:gridCol w:w="2453"/>
        <w:gridCol w:w="2913"/>
      </w:tblGrid>
      <w:tr>
        <w:trPr>
          <w:trHeight w:val="675" w:hRule="atLeast"/>
        </w:trPr>
        <w:tc>
          <w:tcPr>
            <w:tcW w:w="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45" w:hRule="atLeast"/>
        </w:trPr>
        <w:tc>
          <w:tcPr>
            <w:tcW w:w="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</w:tr>
      <w:tr>
        <w:trPr>
          <w:trHeight w:val="795" w:hRule="atLeast"/>
        </w:trPr>
        <w:tc>
          <w:tcPr>
            <w:tcW w:w="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ПЭП по ИИН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пароля</w:t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</w:p>
        </w:tc>
        <w:tc>
          <w:tcPr>
            <w:tcW w:w="2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данные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запроса, выбор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потребителем ЭЦП</w:t>
            </w:r>
          </w:p>
        </w:tc>
      </w:tr>
      <w:tr>
        <w:trPr>
          <w:trHeight w:val="1785" w:hRule="atLeast"/>
        </w:trPr>
        <w:tc>
          <w:tcPr>
            <w:tcW w:w="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 документ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успешном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запрашиваемой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</w:t>
            </w:r>
          </w:p>
        </w:tc>
        <w:tc>
          <w:tcPr>
            <w:tcW w:w="2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</w:tr>
      <w:tr>
        <w:trPr>
          <w:trHeight w:val="300" w:hRule="atLeast"/>
        </w:trPr>
        <w:tc>
          <w:tcPr>
            <w:tcW w:w="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 – 1 мин</w:t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</w:t>
            </w:r>
          </w:p>
        </w:tc>
        <w:tc>
          <w:tcPr>
            <w:tcW w:w="2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</w:tr>
      <w:tr>
        <w:trPr>
          <w:trHeight w:val="825" w:hRule="atLeast"/>
        </w:trPr>
        <w:tc>
          <w:tcPr>
            <w:tcW w:w="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2– если 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3–если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прошла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успешно</w:t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5–если нарушений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013"/>
        <w:gridCol w:w="1933"/>
        <w:gridCol w:w="2313"/>
        <w:gridCol w:w="2113"/>
        <w:gridCol w:w="2653"/>
      </w:tblGrid>
      <w:tr>
        <w:trPr>
          <w:trHeight w:val="675" w:hRule="atLeast"/>
        </w:trPr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связи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данных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 (подпи-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посредством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 потре-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бителя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</w:p>
        </w:tc>
        <w:tc>
          <w:tcPr>
            <w:tcW w:w="2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связи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документах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</w:p>
        </w:tc>
        <w:tc>
          <w:tcPr>
            <w:tcW w:w="2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</w:tr>
      <w:tr>
        <w:trPr>
          <w:trHeight w:val="1785" w:hRule="atLeast"/>
        </w:trPr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запрашивае-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мой 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ция запроса</w:t>
            </w:r>
          </w:p>
        </w:tc>
        <w:tc>
          <w:tcPr>
            <w:tcW w:w="2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заявлению</w:t>
            </w:r>
          </w:p>
        </w:tc>
        <w:tc>
          <w:tcPr>
            <w:tcW w:w="2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 отказа</w:t>
            </w:r>
          </w:p>
        </w:tc>
        <w:tc>
          <w:tcPr>
            <w:tcW w:w="2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выходного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</w:p>
        </w:tc>
      </w:tr>
      <w:tr>
        <w:trPr>
          <w:trHeight w:val="300" w:hRule="atLeast"/>
        </w:trPr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 –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</w:t>
            </w:r>
          </w:p>
        </w:tc>
        <w:tc>
          <w:tcPr>
            <w:tcW w:w="2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 – 1 мин</w:t>
            </w:r>
          </w:p>
        </w:tc>
        <w:tc>
          <w:tcPr>
            <w:tcW w:w="2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рабочих дней</w:t>
            </w:r>
          </w:p>
        </w:tc>
      </w:tr>
      <w:tr>
        <w:trPr>
          <w:trHeight w:val="825" w:hRule="atLeast"/>
        </w:trPr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 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нарушений нет</w:t>
            </w:r>
          </w:p>
        </w:tc>
        <w:tc>
          <w:tcPr>
            <w:tcW w:w="2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69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Описание действий СФЕ через услугодателя</w:t>
      </w:r>
    </w:p>
    <w:bookmarkEnd w:id="3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93"/>
        <w:gridCol w:w="2853"/>
        <w:gridCol w:w="2473"/>
        <w:gridCol w:w="2713"/>
        <w:gridCol w:w="3073"/>
      </w:tblGrid>
      <w:tr>
        <w:trPr>
          <w:trHeight w:val="675" w:hRule="atLeast"/>
        </w:trPr>
        <w:tc>
          <w:tcPr>
            <w:tcW w:w="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45" w:hRule="atLeast"/>
        </w:trPr>
        <w:tc>
          <w:tcPr>
            <w:tcW w:w="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3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</w:tr>
      <w:tr>
        <w:trPr>
          <w:trHeight w:val="795" w:hRule="atLeast"/>
        </w:trPr>
        <w:tc>
          <w:tcPr>
            <w:tcW w:w="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2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через ИИН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пароля</w:t>
            </w:r>
          </w:p>
        </w:tc>
        <w:tc>
          <w:tcPr>
            <w:tcW w:w="2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  <w:tc>
          <w:tcPr>
            <w:tcW w:w="3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о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 в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ФЛ</w:t>
            </w:r>
          </w:p>
        </w:tc>
      </w:tr>
      <w:tr>
        <w:trPr>
          <w:trHeight w:val="1695" w:hRule="atLeast"/>
        </w:trPr>
        <w:tc>
          <w:tcPr>
            <w:tcW w:w="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 документ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системе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заявлению</w:t>
            </w:r>
          </w:p>
        </w:tc>
        <w:tc>
          <w:tcPr>
            <w:tcW w:w="2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3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</w:tr>
      <w:tr>
        <w:trPr>
          <w:trHeight w:val="300" w:hRule="atLeast"/>
        </w:trPr>
        <w:tc>
          <w:tcPr>
            <w:tcW w:w="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10–15 сек</w:t>
            </w:r>
          </w:p>
        </w:tc>
        <w:tc>
          <w:tcPr>
            <w:tcW w:w="2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сек</w:t>
            </w:r>
          </w:p>
        </w:tc>
        <w:tc>
          <w:tcPr>
            <w:tcW w:w="3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</w:tr>
      <w:tr>
        <w:trPr>
          <w:trHeight w:val="2820" w:hRule="atLeast"/>
        </w:trPr>
        <w:tc>
          <w:tcPr>
            <w:tcW w:w="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3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если 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нарушения; 5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 нарушений нет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113"/>
        <w:gridCol w:w="1993"/>
        <w:gridCol w:w="2073"/>
        <w:gridCol w:w="2233"/>
        <w:gridCol w:w="3313"/>
      </w:tblGrid>
      <w:tr>
        <w:trPr>
          <w:trHeight w:val="675" w:hRule="atLeast"/>
        </w:trPr>
        <w:tc>
          <w:tcPr>
            <w:tcW w:w="2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3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2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</w:t>
            </w:r>
          </w:p>
        </w:tc>
        <w:tc>
          <w:tcPr>
            <w:tcW w:w="1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3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2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отсутствии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ФЛ</w:t>
            </w:r>
          </w:p>
        </w:tc>
        <w:tc>
          <w:tcPr>
            <w:tcW w:w="1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прикрепле-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сканирован-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удостове-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рением ЭЦП</w:t>
            </w:r>
          </w:p>
        </w:tc>
        <w:tc>
          <w:tcPr>
            <w:tcW w:w="2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связи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</w:p>
        </w:tc>
        <w:tc>
          <w:tcPr>
            <w:tcW w:w="3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 услуги</w:t>
            </w:r>
          </w:p>
        </w:tc>
      </w:tr>
      <w:tr>
        <w:trPr>
          <w:trHeight w:val="1695" w:hRule="atLeast"/>
        </w:trPr>
        <w:tc>
          <w:tcPr>
            <w:tcW w:w="2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 отказа</w:t>
            </w:r>
          </w:p>
        </w:tc>
        <w:tc>
          <w:tcPr>
            <w:tcW w:w="1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ция запроса</w:t>
            </w:r>
          </w:p>
        </w:tc>
        <w:tc>
          <w:tcPr>
            <w:tcW w:w="2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заявлению</w:t>
            </w:r>
          </w:p>
        </w:tc>
        <w:tc>
          <w:tcPr>
            <w:tcW w:w="2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 отказа</w:t>
            </w:r>
          </w:p>
        </w:tc>
        <w:tc>
          <w:tcPr>
            <w:tcW w:w="3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 услуги-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</w:t>
            </w:r>
          </w:p>
        </w:tc>
      </w:tr>
      <w:tr>
        <w:trPr>
          <w:trHeight w:val="300" w:hRule="atLeast"/>
        </w:trPr>
        <w:tc>
          <w:tcPr>
            <w:tcW w:w="2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</w:t>
            </w:r>
          </w:p>
        </w:tc>
        <w:tc>
          <w:tcPr>
            <w:tcW w:w="1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</w:t>
            </w:r>
          </w:p>
        </w:tc>
        <w:tc>
          <w:tcPr>
            <w:tcW w:w="2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 –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</w:t>
            </w:r>
          </w:p>
        </w:tc>
        <w:tc>
          <w:tcPr>
            <w:tcW w:w="2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3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рабочих дней</w:t>
            </w:r>
          </w:p>
        </w:tc>
      </w:tr>
      <w:tr>
        <w:trPr>
          <w:trHeight w:val="2820" w:hRule="atLeast"/>
        </w:trPr>
        <w:tc>
          <w:tcPr>
            <w:tcW w:w="2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7– если 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8–если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</w:tc>
        <w:tc>
          <w:tcPr>
            <w:tcW w:w="2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3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70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"Оформление документов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для материального обеспечения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детей-инвалидов, обучающихся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 воспитывающихся на дому"  </w:t>
      </w:r>
    </w:p>
    <w:bookmarkEnd w:id="32"/>
    <w:bookmarkStart w:name="z71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Диаграмма № 1 функционального взаимодействия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при оказании электронной государственной услуги через ПЭП</w:t>
      </w:r>
    </w:p>
    <w:bookmarkEnd w:id="33"/>
    <w:p>
      <w:pPr>
        <w:spacing w:after="0"/>
        <w:ind w:left="0"/>
        <w:jc w:val="both"/>
      </w:pPr>
      <w:r>
        <w:drawing>
          <wp:inline distT="0" distB="0" distL="0" distR="0">
            <wp:extent cx="7493000" cy="372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9300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2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Диаграмма № 2 функционального взаимодействия при оказании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электронной государственной услуги через услугодателя</w:t>
      </w:r>
    </w:p>
    <w:bookmarkEnd w:id="34"/>
    <w:p>
      <w:pPr>
        <w:spacing w:after="0"/>
        <w:ind w:left="0"/>
        <w:jc w:val="both"/>
      </w:pPr>
      <w:r>
        <w:drawing>
          <wp:inline distT="0" distB="0" distL="0" distR="0">
            <wp:extent cx="7480300" cy="398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4803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3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Условные обозначения</w:t>
      </w:r>
    </w:p>
    <w:bookmarkEnd w:id="35"/>
    <w:p>
      <w:pPr>
        <w:spacing w:after="0"/>
        <w:ind w:left="0"/>
        <w:jc w:val="both"/>
      </w:pPr>
      <w:r>
        <w:drawing>
          <wp:inline distT="0" distB="0" distL="0" distR="0">
            <wp:extent cx="5029200" cy="466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466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4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"Оформление документов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для материального обеспечения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детей-инвалидов, обучающихся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 воспитывающихся на дому"   </w:t>
      </w:r>
    </w:p>
    <w:bookmarkEnd w:id="36"/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Экранная форма заявления 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972300" cy="618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618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 заявлению прилагаются документы: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946900" cy="240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5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"Оформление документов для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материального обеспечения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детей-инвалидов, обучающихся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 воспитывающихся на дому"   </w:t>
      </w:r>
    </w:p>
    <w:bookmarkEnd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 (документов для материального обеспечения детей-инвалидов, обучающихся и воспитывающихся на дому) 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239000" cy="1027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1027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6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Уведомления, предоставляемые потребителю</w:t>
      </w:r>
    </w:p>
    <w:bookmarkEnd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Уведомления поставляются по мере изменения статуса исполнения заявления, либо в случае продления срока оказания услуги. Произвольная строка с текстом уведомления отражается в разделе "Уведомления" в личном кабинете на портале "электронного правительства".</w:t>
      </w:r>
    </w:p>
    <w:bookmarkStart w:name="z77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Выходная форма отрицательного ответа (отказ) на электронную государственную услугу, предоставляемого потребителю</w:t>
      </w:r>
    </w:p>
    <w:bookmarkEnd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Выходная форма отрицательного ответа предоставляется в произвольной форме в виде письма с текстом обоснования отказа при формировании заключения комиссии.</w:t>
      </w:r>
    </w:p>
    <w:bookmarkStart w:name="z78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5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"Оформление документов для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материального обеспечения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детей-инвалидов, обучающихся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 воспитывающихся на дому"   </w:t>
      </w:r>
    </w:p>
    <w:bookmarkEnd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 электронной государственной услуги: "качество" и "доступность"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 xml:space="preserve">      1. </w:t>
      </w:r>
      <w:r>
        <w:rPr>
          <w:rFonts w:ascii="Times New Roman"/>
          <w:b/>
          <w:i w:val="false"/>
          <w:color w:val="000000"/>
          <w:sz w:val="28"/>
        </w:rPr>
        <w:t xml:space="preserve">Удовлетворены ли Вы </w:t>
      </w:r>
      <w:r>
        <w:rPr>
          <w:rFonts w:ascii="Times New Roman"/>
          <w:b/>
          <w:i w:val="false"/>
          <w:color w:val="000000"/>
          <w:sz w:val="28"/>
        </w:rPr>
        <w:t>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 xml:space="preserve">      2. </w:t>
      </w:r>
      <w:r>
        <w:rPr>
          <w:rFonts w:ascii="Times New Roman"/>
          <w:b/>
          <w:i w:val="false"/>
          <w:color w:val="000000"/>
          <w:sz w:val="28"/>
        </w:rPr>
        <w:t xml:space="preserve">Удовлетворены ли Вы </w:t>
      </w:r>
      <w:r>
        <w:rPr>
          <w:rFonts w:ascii="Times New Roman"/>
          <w:b/>
          <w:i w:val="false"/>
          <w:color w:val="000000"/>
          <w:sz w:val="28"/>
        </w:rPr>
        <w:t>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8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header.xml" Type="http://schemas.openxmlformats.org/officeDocument/2006/relationships/header" Id="rId18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