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0552" w14:textId="8990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оптимальных сроках сева по каждому виду субсидируемых приоритетных сельскохозяйственных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11 июля 2012 года № 180. Зарегистрировано Департаментом юстиции Костанайской области 14 августа 2012 года № 9-16-147. Утратило силу - Постановлением акимата Наурзумского района Костанайской области от 24 июня 2013 года № 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утратило силу - Постановлением акимата Наурзумского района Костанайской области от 24.06.2013 года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 от 23 января 2001 года,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из местных бюджетов на повышение урожайности и качества продукции растениеводства"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Определить оптимальные сроки сева по каждому виду субсидируемых приоритетных сельскохозяйственных культур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Орманова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 и распространяется на правоотношения, возникшие с 20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Балгарин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Ж. Тлеугабылов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2012 года № 180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каждому виду</w:t>
      </w:r>
      <w:r>
        <w:br/>
      </w:r>
      <w:r>
        <w:rPr>
          <w:rFonts w:ascii="Times New Roman"/>
          <w:b/>
          <w:i w:val="false"/>
          <w:color w:val="000000"/>
        </w:rPr>
        <w:t>
субсидируемых приоритетных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4"/>
        <w:gridCol w:w="4846"/>
      </w:tblGrid>
      <w:tr>
        <w:trPr>
          <w:trHeight w:val="345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15 мая по 5 июня</w:t>
            </w:r>
          </w:p>
        </w:tc>
      </w:tr>
      <w:tr>
        <w:trPr>
          <w:trHeight w:val="345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15 августа по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сентября</w:t>
            </w:r>
          </w:p>
        </w:tc>
      </w:tr>
      <w:tr>
        <w:trPr>
          <w:trHeight w:val="345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15 августа по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сентября</w:t>
            </w:r>
          </w:p>
        </w:tc>
      </w:tr>
      <w:tr>
        <w:trPr>
          <w:trHeight w:val="345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15 мая по 5 июня</w:t>
            </w:r>
          </w:p>
        </w:tc>
      </w:tr>
      <w:tr>
        <w:trPr>
          <w:trHeight w:val="345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15 мая по 5 июня</w:t>
            </w:r>
          </w:p>
        </w:tc>
      </w:tr>
      <w:tr>
        <w:trPr>
          <w:trHeight w:val="345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15 мая по 5 июня</w:t>
            </w:r>
          </w:p>
        </w:tc>
      </w:tr>
      <w:tr>
        <w:trPr>
          <w:trHeight w:val="345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15 мая по 5 июня</w:t>
            </w:r>
          </w:p>
        </w:tc>
      </w:tr>
      <w:tr>
        <w:trPr>
          <w:trHeight w:val="345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15 мая по 5 июня</w:t>
            </w:r>
          </w:p>
        </w:tc>
      </w:tr>
      <w:tr>
        <w:trPr>
          <w:trHeight w:val="345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18 мая по 30 мая</w:t>
            </w:r>
          </w:p>
        </w:tc>
      </w:tr>
      <w:tr>
        <w:trPr>
          <w:trHeight w:val="600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травы (однолетние,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текущего года)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30 апреля по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июля</w:t>
            </w:r>
          </w:p>
        </w:tc>
      </w:tr>
      <w:tr>
        <w:trPr>
          <w:trHeight w:val="345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многолетние 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первого, второго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третьего годов жизни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срок)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20 апреля по 31 мая</w:t>
            </w:r>
          </w:p>
        </w:tc>
      </w:tr>
      <w:tr>
        <w:trPr>
          <w:trHeight w:val="345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( 2 срок)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5 июля по 1 августа</w:t>
            </w:r>
          </w:p>
        </w:tc>
      </w:tr>
      <w:tr>
        <w:trPr>
          <w:trHeight w:val="345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15 мая по 31 мая</w:t>
            </w:r>
          </w:p>
        </w:tc>
      </w:tr>
      <w:tr>
        <w:trPr>
          <w:trHeight w:val="345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25 апреля по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июня</w:t>
            </w:r>
          </w:p>
        </w:tc>
      </w:tr>
      <w:tr>
        <w:trPr>
          <w:trHeight w:val="345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10 мая по 31 мая</w:t>
            </w:r>
          </w:p>
        </w:tc>
      </w:tr>
      <w:tr>
        <w:trPr>
          <w:trHeight w:val="345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травы, посеянные для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залужения сенокосных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срок)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20 апреля по 31 мая</w:t>
            </w:r>
          </w:p>
        </w:tc>
      </w:tr>
      <w:tr>
        <w:trPr>
          <w:trHeight w:val="345" w:hRule="atLeast"/>
        </w:trPr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срок)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 5 июля по 1 августа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