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49a0" w14:textId="ed24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района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19 декабря 2012 года N 46/11. Зарегистрировано Департаментом юстиции Павлодарской области 27 декабря 2012 года N 3304.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(V созыв, ХІ сессия) от 6 декабря 2012 года N 116/11 "Об областном бюджете на 2013 - 2015 годы" (зарегистрированное в Реестре государственной регистрации нормативных правовых актов N 3290 от 14 декабря 2012 года),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2060990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1836993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2068930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33010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21232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-62182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62182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Актогайского района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55/13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000000"/>
          <w:sz w:val="28"/>
        </w:rPr>
        <w:t>N 65/15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13.06.2013 </w:t>
      </w:r>
      <w:r>
        <w:rPr>
          <w:rFonts w:ascii="Times New Roman"/>
          <w:b w:val="false"/>
          <w:i w:val="false"/>
          <w:color w:val="000000"/>
          <w:sz w:val="28"/>
        </w:rPr>
        <w:t>N 69/16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22.07.2013 </w:t>
      </w:r>
      <w:r>
        <w:rPr>
          <w:rFonts w:ascii="Times New Roman"/>
          <w:b w:val="false"/>
          <w:i w:val="false"/>
          <w:color w:val="000000"/>
          <w:sz w:val="28"/>
        </w:rPr>
        <w:t>N 74/18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26.11.2013 </w:t>
      </w:r>
      <w:r>
        <w:rPr>
          <w:rFonts w:ascii="Times New Roman"/>
          <w:b w:val="false"/>
          <w:i w:val="false"/>
          <w:color w:val="000000"/>
          <w:sz w:val="28"/>
        </w:rPr>
        <w:t>N 89/23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18.12.2013 </w:t>
      </w:r>
      <w:r>
        <w:rPr>
          <w:rFonts w:ascii="Times New Roman"/>
          <w:b w:val="false"/>
          <w:i w:val="false"/>
          <w:color w:val="000000"/>
          <w:sz w:val="28"/>
        </w:rPr>
        <w:t>N 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района на 2013 год объем субвенции, передаваемых из областного бюджета в сумме 1637483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на 2013 год целевые текущие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укрепление материально-технической базы объектов образования в сумме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 – 2865,0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обустройство спортивных сооружений – 7319,0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мероприятий по благоустройству населенных пунктов – 20000,0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- на расширение сети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7300 тысяч тенге – на организацию повышения квалификации по трехуровневой системе работников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Актогайского района Павлодарской области от 26.11.2013 </w:t>
      </w:r>
      <w:r>
        <w:rPr>
          <w:rFonts w:ascii="Times New Roman"/>
          <w:b w:val="false"/>
          <w:i w:val="false"/>
          <w:color w:val="000000"/>
          <w:sz w:val="28"/>
        </w:rPr>
        <w:t>N 89/23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18.12.2013 </w:t>
      </w:r>
      <w:r>
        <w:rPr>
          <w:rFonts w:ascii="Times New Roman"/>
          <w:b w:val="false"/>
          <w:i w:val="false"/>
          <w:color w:val="000000"/>
          <w:sz w:val="28"/>
        </w:rPr>
        <w:t>N 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района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37177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4247 тысячи тенге –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4850 тысяч тенге – на оснащение учебным оборудованием кабинетов физики, химии, биологии в государственных учреждениях основного,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19923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3943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10626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37046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13049 тысячи тенге – на реализацию мер по содействию экономическому развитию регионов в рамках Программы "Развитие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7943 тысяч тенге -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Актогайского района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55/13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решениями маслихата Актогайского района Павлодарской области от 22.07.2013 </w:t>
      </w:r>
      <w:r>
        <w:rPr>
          <w:rFonts w:ascii="Times New Roman"/>
          <w:b w:val="false"/>
          <w:i w:val="false"/>
          <w:color w:val="000000"/>
          <w:sz w:val="28"/>
        </w:rPr>
        <w:t>N 74/18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94/24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района бюджетные кредиты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38947 тысяч тенге -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Актогайского района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55/13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Предусмотреть в бюджете района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13800 тысяч тенге - на развитие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Актогайского района Павлодарской области от 13.06.2013 </w:t>
      </w:r>
      <w:r>
        <w:rPr>
          <w:rFonts w:ascii="Times New Roman"/>
          <w:b w:val="false"/>
          <w:i w:val="false"/>
          <w:color w:val="000000"/>
          <w:sz w:val="28"/>
        </w:rPr>
        <w:t>N 69/16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местного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по сельским округам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повышение на 25 процентов окладов и тарифных ставок специалистам сферы социального обеспечения, образования, культуры и спорта, работающим в сельской местности и не являющимся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2013 год резерв исполнительного местного органа района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Сматаева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 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Актогайского района Павлодарской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N 94/24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87"/>
        <w:gridCol w:w="8254"/>
        <w:gridCol w:w="2287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2060990</w:t>
            </w:r>
          </w:p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98033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1836993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7"/>
        <w:gridCol w:w="539"/>
        <w:gridCol w:w="539"/>
        <w:gridCol w:w="8067"/>
        <w:gridCol w:w="2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2068930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232539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0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1318083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1166483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1153544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1117158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66301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63147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76939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13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селах, сельских округах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1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 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461"/>
        <w:gridCol w:w="8716"/>
        <w:gridCol w:w="2041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1844979</w:t>
            </w:r>
          </w:p>
        </w:tc>
      </w:tr>
      <w:tr>
        <w:trPr>
          <w:trHeight w:val="1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215197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1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1627302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1627302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8"/>
        <w:gridCol w:w="539"/>
        <w:gridCol w:w="539"/>
        <w:gridCol w:w="8088"/>
        <w:gridCol w:w="20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1844979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0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1258649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1166249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1153599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1129099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77136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47896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3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146848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17848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2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8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3"/>
        <w:gridCol w:w="483"/>
        <w:gridCol w:w="8692"/>
        <w:gridCol w:w="206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1868527</w:t>
            </w:r>
          </w:p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100350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29477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1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1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1647803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1647803</w:t>
            </w:r>
          </w:p>
        </w:tc>
      </w:tr>
      <w:tr>
        <w:trPr>
          <w:trHeight w:val="1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41"/>
        <w:gridCol w:w="543"/>
        <w:gridCol w:w="543"/>
        <w:gridCol w:w="8078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1868527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215083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188583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121280</w:t>
            </w:r>
          </w:p>
        </w:tc>
      </w:tr>
      <w:tr>
        <w:trPr>
          <w:trHeight w:val="7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0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7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10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0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1265511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1167964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1155314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1129099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26215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79177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55946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48446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3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147347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</w:p>
        </w:tc>
      </w:tr>
      <w:tr>
        <w:trPr>
          <w:trHeight w:val="5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69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8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7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6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21369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8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к секвестру в процессе исполнения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 по Актогайскому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508"/>
        <w:gridCol w:w="508"/>
        <w:gridCol w:w="91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</w:t>
      </w:r>
      <w:r>
        <w:br/>
      </w:r>
      <w:r>
        <w:rPr>
          <w:rFonts w:ascii="Times New Roman"/>
          <w:b/>
          <w:i w:val="false"/>
          <w:color w:val="000000"/>
        </w:rPr>
        <w:t>
сельским округам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9653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Баскамысский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Жалаулинский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Шолаксорский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Караобинский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Муткеновский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 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Ауельбекский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Кожамжарский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  на дому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Жолболдинский сельский округ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