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0136c" w14:textId="6d013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"Постановка на очередь детей дошкольного возраста (до 7 лет) для направления в детские дошкольные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Аккайынского района Северо-Казахстанской области от 13 декабря 2012 года N 317. Зарегистрировано Департаментом юстиции Северо-Казахстанской области 18 янвабря 2013 года N 2073. Утратило силу - постановлением акимата Аккайынского района Северо-Казахстанской области от 24 мая 2013 года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 Утратило силу - постановлением акимата Аккайынского района Северо-Казахстанской области от 24.05.2013 N 141</w:t>
      </w:r>
    </w:p>
    <w:bookmarkStart w:name="z3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процедурах», акимат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«Постановка на очередь детей дошкольного возраста (до 7 лет) для направления в детские дошкольные организации».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Аккайынского района Северо-Казахстанской области Муканова С.У.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Северо–Казахстанской области                  Р. Елубаев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А. Жумагалиев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Аккайынского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13 декабря 2012 года № 317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электронной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«Постановка на очередь детей дошкольного возраста (до 7 лет) для направления в детские дошкольные организации»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государственным учреждением «Аккайынский районный отдел образования», аппаратами акима аульного (сельского) округа (далее – уполномоченный орган) и через центр обслуживания населения по месту жительства (далее - Центр), а также через веб-портал «электронного правительства» (далее - ПЭП) по адресу: www.e.gov.kz – далее Услугодатели.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Электронная государственная услуга разработана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«Постановка на очередь детей дошкольного возраста (до 7 лет) для направления в детские дошкольные организации», утвержденного постановлением Правительства Республики Казахстан от 31 августа 2012 года № 1119 «Об утверждении стандартов государственных услуг, оказываемых Министерством образования и науки Республики Казахстан, местными исполнительными органами в сфере образования и науки»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электронной государственной услуги: частично автоматизированная (электронная государственная услуга, содержащая медиа-разрывы).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электронной государственной услуги: транзакционная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(далее - ИС)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информационная система уполномоченного органа (далее - ИС УО) - информационная система «Региональный шлюз, как подсистема шлюза «электронного правительства» Республики Казахстан, в части автоматизированного рабочего места сотрудника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идентификационный номер (далее - ИИН)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структурно-функциональные единицы (далее - СФЕ) - это ответственные лица уполномоченных органов, структурные подразделения государственных органов и т.п., принимающих участие в оказании электронной услуги на определенной стадии;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ДДО – детская дошкольная организация;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медиа-разрыв – чередование бумажного и электронного документооборота в процессе оказания услуг, когда необходимы преобразования документов из электронной формы в бумажную или наоборот;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(далее - УО) – государственное учреждение «Аккайынский районный отдел образования», аппарат акима аульного (сельского) округа, непосредственно предоставляющее электронную государственную услугу;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пользователь – субъект,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ИС НУЦ – информационная система Национального удостоверяющего центра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информационная система Центра (далее - ИС Центр)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Центр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электронная цифровая подпись (далее - ЭЦП)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региональный шлюз «электронного правительства» (далее - РШЭП) - обеспечивает информационное взаимодействие между внутренними системами/подсистемами МИО и внешними информационными системами, участвующими в процессе оказания электронных услуг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веб-портал «электронного правительства» (далее - ПЭП) -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шлюз «электронного правительства» (далее - ШЭП) - информационная система, предназначенная для интеграции информационных систем «электронного правительства» в рамках реализации электронных услуг.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</w:t>
      </w:r>
      <w:r>
        <w:br/>
      </w:r>
      <w:r>
        <w:rPr>
          <w:rFonts w:ascii="Times New Roman"/>
          <w:b/>
          <w:i w:val="false"/>
          <w:color w:val="000000"/>
        </w:rPr>
        <w:t>
по оказанию электронной государственной услуги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при оказании частично автоматизированной электронной государственной услуги УО, непосредственно предоставляющим данную электронную государственную услугу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должен обратиться в УО для получения услуги имея при себе заявление и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Проверка подлинности документов получателя государственной услуги специалистом УО.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специалистом УО ИИН и пароля (процесс авторизации) в ИС УО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1 - проверка в ИС УО подлинности данных о зарегистрированном специалисте УО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2 - формирование сообщения об отказе в авторизации в ИС УО в связи с имеющими нарушениями в данных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3 - выбор специалистом УО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процесс 4 - подписание посредством ЭЦП специалиста УО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ИС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5 - формирование сообщения об отказе в запрашиваемой электронной государственной услуге в связи с не подтверждением подлинности ЭЦП специалиста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УО. Выдача специалистом УО нарочно или посредством отправки на электронную почту получателя государственной услуги результата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через Центр (диаграмма функционального взаимодействия) при оказании электронной государственной услуги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1 - процесс авторизации оператора Центра в ИС Центр для оказания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условие 1 - проверка в ИС Центр подлинности данных о зарегистрированном операторе через ИИН и пароль, либо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процесс 2 - формирование сообщения об отказе в авторизации в ИС Центр в связи с имеющими нарушениями в данных оператора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3 - выбор оператором Центра услуги, указанной в настоящем Регламенте, вывод на экран формы запроса для оказания услуги и заполнение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4 - подписание посредством ЭЦП оператора Центра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5 - формирование сообщения об отказе в запрашиваемой электронной государственной услуге в связи с не подтверждением подлинности ЭЦП оператора;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процесс 6 – направление подписанного ЭЦП оператора Центра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ИС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8 - выдача выходного документа сотрудником Центра получателю государственной услуги нарочно или посредством отправки на электронную почту.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Пошаговые действия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осуществляет регистрацию на ПЭП с помощью ИИН и пароля (осуществляется для незарегистрированных получателей государственной услуги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получателем государственной услуги ИИН и пароля (процесс авторизации) на ПЭП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зарегистрированном получателе государственной услуги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 сообщения об отказе в авторизации в связи с имеющими нарушениями в данных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государственной услуги, указанной в настоящем Регламенте, вывод на экран формы запроса для оказания услуги и заполнение получателем государственной услуги формы (ввод данных и прикрепление сканированных документов)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подписание посредством ЭЦП получателя государственной услуги заполненной формы (введенных данных, сканированных документов) запроса на оказание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соответствия идентификационных данных (между ИИН, указанным в запросе и ИИН, указанным в регистрационном свидетельстве ЭЦП), срока действия регистрационного свидетельства ЭЦП и отсутствия в списке отозванных (аннулированных) регистрационных свидетельств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процесс 5 – формирование сообщения об отказе в запрашиваемой электронной государственной услуге в связи с не подтверждением подлинности ЭЦП получателя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направление подписанного ЭЦП получателя государственной услуги электронного документа (запроса получателя государственной услуги) через ШЭП/РШЭП в ИС УО и обработка электронной государственной услуги специалистом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7 - формирование специалистом УО результата оказания электронной государственной услуги (направление в детскую дошкольную организацию, в случае отсутствия мест в дошкольной организации, уведомление о постановке на очередь, с указанием номера очередности в форме электронного документа, подписанного электронной цифровой подписью уполномоченного лица уполномоченного органа либо мотивированный ответ об отказе в предоставлении государственной услуги в форме электронного документа). Электронный документ формируется с использованием ЭЦП специалиста УО и передается в личный кабинет на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представлены экранные формы заполнения запроса и форма заявления на электронную государственную услугу, предоставляемые получателю государственной услуги в случае получения электронной государственной услуги посредством ПЭП.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Способ проверки получателем государственной услуги статуса исполнения запроса по электронной государственной услуге: на портале «электронного правительства» в разделе «История получения услуг», а также при обращении в УО или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Необходимую информацию и консультацию по оказанию электронной государственной услуги можно получить по телефону саll–центра ПЭП: (1414).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электронной государственной услуги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УО;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сотрудники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Текстовое табличное описание последовательности действий (процедур, функций, операций) структурных подразделений государственных органов, государственных учреждений или иных организаций с указанием срока выполнения каждого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(рисунок 1, 2, 3) представлены диаграммы, отражающие взаимосвязь между логической последовательностью действий (в процессе оказания электронной государственной услуги) структурных подразделений государственных органов, государственных учреждений или иных организаций в соответствии с их описаниями, указанными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Формы, шаблоны бланков в соответствии с которыми должен быть представлен результат оказания электронной государственной услуги, в том числе с указанием правил форматно-логического контроля, включая формы уведомлений, писем и напоминаний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оказания электронной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Требования, предъявляемые к процессу оказания электронной государственной услуги получателями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соблюдения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соблюдения профессиональной этики и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представления исчерпывающей и полной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защиты и конфиденциальности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обеспечения сохранности документов, которые получатель государственной услуги не получил в установленные сроки.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Технические условия оказания электронной государственной услуги: выход в Интернет, наличие ИИН, авторизация ПЭП, наличие ЭЦП пользователя.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посредством УО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7"/>
        <w:gridCol w:w="2141"/>
        <w:gridCol w:w="1837"/>
        <w:gridCol w:w="1787"/>
        <w:gridCol w:w="1804"/>
        <w:gridCol w:w="1697"/>
        <w:gridCol w:w="2159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Центра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УО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 решение)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пившие» 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 ДДО,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в ДДО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</w:tr>
      <w:tr>
        <w:trPr>
          <w:trHeight w:val="30" w:hRule="atLeast"/>
        </w:trPr>
        <w:tc>
          <w:tcPr>
            <w:tcW w:w="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1"/>
        <w:gridCol w:w="1616"/>
        <w:gridCol w:w="1754"/>
        <w:gridCol w:w="1617"/>
        <w:gridCol w:w="2222"/>
        <w:gridCol w:w="27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докумен-та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выходного документа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выходного документа ЭЦП специалиста УО. Формирование уведомления о смене статуса оказания услуги в ИС Центр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Маршрутизация запроса 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Подписанный ЭЦП специалиста УО выходной документ. Отправка уведомления о смене статуса в ИС Центр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действия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6"/>
        <w:gridCol w:w="3832"/>
        <w:gridCol w:w="3229"/>
        <w:gridCol w:w="4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уведомления о смене статуса в ИС Центра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 завершении оказания услуги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статуса «завершение исполнения и выдачи выходного документа»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посредством Центра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0"/>
        <w:gridCol w:w="2056"/>
        <w:gridCol w:w="2598"/>
        <w:gridCol w:w="2434"/>
        <w:gridCol w:w="1936"/>
        <w:gridCol w:w="1666"/>
        <w:gridCol w:w="162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СФЕ, ИС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 УО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подлинности документов получателя государственной услуги, ввод данных в ИС Центра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сотрудника Центра в системе и заполнение формы запроса на оказания электронной государственной услуги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УО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в ИС УО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работу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1"/>
        <w:gridCol w:w="2304"/>
        <w:gridCol w:w="2930"/>
        <w:gridCol w:w="1785"/>
        <w:gridCol w:w="1934"/>
        <w:gridCol w:w="1707"/>
        <w:gridCol w:w="166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запроса. Формирование результата электронной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услуги 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ДДО, в случае отсутствия мест в ДДО уведомление о постановке на очередь, либо мотивированный ответ об отказе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 запроса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 (день приема и день выдачи документов не входит в срок оказания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2114"/>
        <w:gridCol w:w="1583"/>
        <w:gridCol w:w="1816"/>
        <w:gridCol w:w="1816"/>
        <w:gridCol w:w="1694"/>
        <w:gridCol w:w="228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Центра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Центра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сотрудником Центра нарочно или посредством отправки на электронную почту получателя государственной услуги результата электронной государственной услуги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уведомления в ИС Центр о 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ния»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результата оказания услуги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0"/>
        <w:gridCol w:w="2012"/>
        <w:gridCol w:w="2696"/>
        <w:gridCol w:w="1791"/>
        <w:gridCol w:w="1575"/>
        <w:gridCol w:w="1686"/>
        <w:gridCol w:w="159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after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основного процесса (хода, потока работ) 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СФЕ, ИС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РШЭП (ШЭП)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УО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Авторизация получателя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на ПЭП, заполнение формы запроса, проверка корректности введенных данных для получения электронной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услуги 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 УО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пившие»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ПЭП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данных)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 или формирование сообщения об отказе в запрашиваемой электронной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данных)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2379"/>
        <w:gridCol w:w="1899"/>
        <w:gridCol w:w="1788"/>
        <w:gridCol w:w="1805"/>
        <w:gridCol w:w="1715"/>
        <w:gridCol w:w="1715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СФЕ, ИС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СпециалистУО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 УО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их описание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элек-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работе»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ДДО,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вия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очередь,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тизация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3 рабочих дней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2033"/>
        <w:gridCol w:w="1699"/>
        <w:gridCol w:w="1822"/>
        <w:gridCol w:w="2056"/>
        <w:gridCol w:w="1933"/>
        <w:gridCol w:w="182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СФЕ, ИС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листУО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УО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ШЭП (РШЭП)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Центра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са, 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вы-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ЭЦП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Центр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ПЭП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Центра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уве-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просмотра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 минуты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12446000" cy="566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1. Диаграмма функционального взаимодействия при оказании «частично автоматизированной» электронной государственной услуги через ИС УО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547600" cy="599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476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2. Диаграмма функционального взаимодействия при оказании «частично автоматизированной» электронной государственной услуги через ИС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2446000" cy="565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0" cy="56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Рисунок 3. Диаграмма функционального взаимодействия при оказании «частично автоматизированной» электронной государственной услуги через ПЭП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Таблица. Условные обозначения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242300" cy="638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42300" cy="638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Типовое оформление диаграммы приведено в графической нотации BPMN 1.2, используемой для моделирования бизнес-процессов. Моделирование в BPMN осуществляется посредством диаграмм с небольшим числом графических элементов. Это помогает потребителям быстро понимать логику процесса. Выделяют четыре основные категории элементов: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 потока управления: события, действия и логические операторы;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соединяющие объекты: поток управления, поток сообщений и ассоциации;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роли: пулы и дорожки;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артефакты: данные, группы и текстовые аннотации.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Элементы этих четырех категорий позволяют строить диаграммы бизнес процессов. Для повышения выразительности модели спецификация разрешает создавать новые типы объектов потока управления и артефактов, которые должны быть приведены в разделе «Примечания».</w:t>
      </w:r>
    </w:p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</w:t>
      </w:r>
      <w:r>
        <w:br/>
      </w:r>
      <w:r>
        <w:rPr>
          <w:rFonts w:ascii="Times New Roman"/>
          <w:b/>
          <w:i w:val="false"/>
          <w:color w:val="000000"/>
        </w:rPr>
        <w:t>
электронной государственной услуги: «качество» и «доступность»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26400" cy="8902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26400" cy="890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Регламенту электронной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«Постановка на очередь детей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дошкольного возраста (до 7 лет)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направления в детские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дошкольные организации»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Выходная форма положительного ответа (направление в ДДО)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99400" cy="886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9940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уведомления о регистрации ребенка дошкольного возраста</w:t>
      </w:r>
      <w:r>
        <w:br/>
      </w:r>
      <w:r>
        <w:rPr>
          <w:rFonts w:ascii="Times New Roman"/>
          <w:b/>
          <w:i w:val="false"/>
          <w:color w:val="000000"/>
        </w:rPr>
        <w:t>
для направления в дошкольную организацию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51800" cy="849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1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abstractNum w:abstractNumId="2">
    <w:multiLevelType w:val="multilevel"/>
    <w:lvl w:ilvl="0">
      <w:start w:val="1"/>
      <w:numFmt w:val="decimal"/>
      <w:lvlText w:val="%1"/>
      <w:lvlJc w:val="left"/>
      <w:pPr>
        <w:ind w:left="960" w:hanging="360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