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c411" w14:textId="dadc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26 декабря 2012 года N 336. Зарегистрировано Департаментом юстиции Северо-Казахстанской области 1 февраля 2013 года N 2152.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3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 № 336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услуга) оказывается государственным учреждением «Аккайынский районный отдел образования, физической культуры и спорта Северо-Казахстанской области» (далее – уполномоченный орган/услугодатель) через Центры обслуживания населения (далее - Центр), а также через веб-портал «электронного правительства» www.egov.kz.,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справка), либо мотивированного ответа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(справка в пенсионные фонды, банки для распоряжения вкладами несовершеннолетних детей (уступка прав и обязательств, расторжение договоров),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- справка), либо мотивированный ответ об отказе в предоставлении государственной услуги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340"/>
        <w:gridCol w:w="963"/>
        <w:gridCol w:w="963"/>
        <w:gridCol w:w="1101"/>
        <w:gridCol w:w="1377"/>
        <w:gridCol w:w="1240"/>
        <w:gridCol w:w="1240"/>
        <w:gridCol w:w="1240"/>
        <w:gridCol w:w="1102"/>
        <w:gridCol w:w="1240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16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  <w:r>
        <w:drawing>
          <wp:inline distT="0" distB="0" distL="0" distR="0">
            <wp:extent cx="92964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  <w:r>
        <w:drawing>
          <wp:inline distT="0" distB="0" distL="0" distR="0">
            <wp:extent cx="93091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Вашего разрешения снять пенсионные накопления в накопительном пенсионном фонде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фонда указывается согласно записи в свидетельстве о праве на наследство)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несовершеннолетних (-ей, -их) детей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несовершеннолетнего (-ей, -их))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смертью вкладчика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вкладчика)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смерти от ___________________________ года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выдачи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«___» 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заявителя(ей) 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994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Вашего разрешения на распоряжение (уступка прав и обязательств, расторжение договоров) вкладами в банке ___________________________ (название банка) несовершеннолетних детей: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 выдано)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«___» __________ год Подпись обоих родителей 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Вашего разрешения на осуществление сделки в отношении транспортного средства, принадлежащего на праве собственности несовершеннолетнему(им) ребенку (детям):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«___» __________ год Подпись заявителя(ей) 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получателю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Центра.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