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83c9" w14:textId="9b88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"Выдача справки, подтверждающей принадлежность заявителя (семьи) к получателям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27 сентября 2012 года N 349. Зарегистрировано Департаментом юстиции Северо-Казахстанской области 6 ноября 2012 года за N 1933. Утратило силу постановлением акимата района имени Габита Мусрепова Северо-Казахстанской области от 23 мая 2013 года N 194</w:t>
      </w:r>
    </w:p>
    <w:p>
      <w:pPr>
        <w:spacing w:after="0"/>
        <w:ind w:left="0"/>
        <w:jc w:val="both"/>
      </w:pPr>
      <w:r>
        <w:rPr>
          <w:rFonts w:ascii="Times New Roman"/>
          <w:b w:val="false"/>
          <w:i w:val="false"/>
          <w:color w:val="ff0000"/>
          <w:sz w:val="28"/>
        </w:rPr>
        <w:t>      Сноска. Утратило силу постановлением акимата района имени Габита Мусрепова Северо-Казахстанской области от 23.05.2013 N 194</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района имени Габита Мусрепова Северо-Казахстанской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подтверждающей принадлежность заявителя</w:t>
      </w:r>
      <w:r>
        <w:br/>
      </w:r>
      <w:r>
        <w:rPr>
          <w:rFonts w:ascii="Times New Roman"/>
          <w:b w:val="false"/>
          <w:i w:val="false"/>
          <w:color w:val="000000"/>
          <w:sz w:val="28"/>
        </w:rPr>
        <w:t>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руководителя аппарата акима района имени Габита Мусрепова Северо-Казахстанской области Адильбекова Ерлана Естаевича.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М. Тасмаганбетов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имени Габита Мусрепова</w:t>
      </w:r>
      <w:r>
        <w:br/>
      </w:r>
      <w:r>
        <w:rPr>
          <w:rFonts w:ascii="Times New Roman"/>
          <w:b w:val="false"/>
          <w:i w:val="false"/>
          <w:color w:val="000000"/>
          <w:sz w:val="28"/>
        </w:rPr>
        <w:t>
от 27 сентября 2012 года № 349</w:t>
      </w:r>
    </w:p>
    <w:bookmarkEnd w:id="1"/>
    <w:p>
      <w:pPr>
        <w:spacing w:after="0"/>
        <w:ind w:left="0"/>
        <w:jc w:val="left"/>
      </w:pPr>
      <w:r>
        <w:rPr>
          <w:rFonts w:ascii="Times New Roman"/>
          <w:b/>
          <w:i w:val="false"/>
          <w:color w:val="000000"/>
        </w:rPr>
        <w:t xml:space="preserve"> Регламент государственной услуги «Выдача справки, подтверждающей принадлежность заявителя</w:t>
      </w:r>
      <w:r>
        <w:br/>
      </w:r>
      <w:r>
        <w:rPr>
          <w:rFonts w:ascii="Times New Roman"/>
          <w:b/>
          <w:i w:val="false"/>
          <w:color w:val="000000"/>
        </w:rPr>
        <w:t>
(семьи) к получателям адресной социальной помощи» 1. Основные понятия</w:t>
      </w:r>
    </w:p>
    <w:bookmarkStart w:name="z6" w:id="2"/>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справки, подтверждающей принадлежность заявителя (семьи) к получателям адресной социальной помощи» (далее - Регламент) используются следующие понятия:</w:t>
      </w:r>
      <w:r>
        <w:br/>
      </w:r>
      <w:r>
        <w:rPr>
          <w:rFonts w:ascii="Times New Roman"/>
          <w:b w:val="false"/>
          <w:i w:val="false"/>
          <w:color w:val="000000"/>
          <w:sz w:val="28"/>
        </w:rPr>
        <w:t>
      1) структурно – 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района имени Габита Мусрепова Северо-Казахстанской области».</w:t>
      </w:r>
    </w:p>
    <w:bookmarkEnd w:id="2"/>
    <w:p>
      <w:pPr>
        <w:spacing w:after="0"/>
        <w:ind w:left="0"/>
        <w:jc w:val="left"/>
      </w:pPr>
      <w:r>
        <w:rPr>
          <w:rFonts w:ascii="Times New Roman"/>
          <w:b/>
          <w:i w:val="false"/>
          <w:color w:val="000000"/>
        </w:rPr>
        <w:t xml:space="preserve"> 2. Общие положения</w:t>
      </w:r>
    </w:p>
    <w:bookmarkStart w:name="z7" w:id="3"/>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имени Габита Мусрепова Северо–Казахстанской области» (далее - уполномоченный орган), расположенного по адресу: Северо-Казахстанская область, район имени Габита Мусрепова, село Новоишимское, улица Ленина, 2, адрес электронной почты: ozsp-gm.sko.kz, телефон 8-715-35-2-13-57.</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6. Полная информация о порядке оказания государственной услуги и необходимых документах располагается на интернет-ресурсе www.ozsp-gm.sko.kz,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(далее – Справка),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 и акима сельского округа:</w:t>
      </w:r>
      <w:r>
        <w:br/>
      </w:r>
      <w:r>
        <w:rPr>
          <w:rFonts w:ascii="Times New Roman"/>
          <w:b w:val="false"/>
          <w:i w:val="false"/>
          <w:color w:val="000000"/>
          <w:sz w:val="28"/>
        </w:rPr>
        <w:t>
</w:t>
      </w:r>
      <w:r>
        <w:rPr>
          <w:rFonts w:ascii="Times New Roman"/>
          <w:b w:val="false"/>
          <w:i w:val="false"/>
          <w:color w:val="000000"/>
          <w:sz w:val="28"/>
        </w:rPr>
        <w:t>
      ежедневно с 9.00 до 18.30 часов с обеденным перерывом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bookmarkEnd w:id="3"/>
    <w:p>
      <w:pPr>
        <w:spacing w:after="0"/>
        <w:ind w:left="0"/>
        <w:jc w:val="left"/>
      </w:pPr>
      <w:r>
        <w:rPr>
          <w:rFonts w:ascii="Times New Roman"/>
          <w:b/>
          <w:i w:val="false"/>
          <w:color w:val="000000"/>
        </w:rPr>
        <w:t xml:space="preserve"> 3. Требования к порядку оказания государственной услуги</w:t>
      </w:r>
    </w:p>
    <w:bookmarkStart w:name="z16" w:id="4"/>
    <w:p>
      <w:pPr>
        <w:spacing w:after="0"/>
        <w:ind w:left="0"/>
        <w:jc w:val="both"/>
      </w:pPr>
      <w:r>
        <w:rPr>
          <w:rFonts w:ascii="Times New Roman"/>
          <w:b w:val="false"/>
          <w:i w:val="false"/>
          <w:color w:val="000000"/>
          <w:sz w:val="28"/>
        </w:rPr>
        <w:t>
      10. Государственная услуга оказывается физическим лицам –получателям государственной адресной социальной помощи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13. Форма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14.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15. При обращении получателю государственной услуги выдается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16. Выдача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осуществляется при личном посещении получателем государственной услуги уполномоченного органа (акима сельского округа) по место жительству.</w:t>
      </w:r>
      <w:r>
        <w:br/>
      </w:r>
      <w:r>
        <w:rPr>
          <w:rFonts w:ascii="Times New Roman"/>
          <w:b w:val="false"/>
          <w:i w:val="false"/>
          <w:color w:val="000000"/>
          <w:sz w:val="28"/>
        </w:rPr>
        <w:t>
</w:t>
      </w:r>
      <w:r>
        <w:rPr>
          <w:rFonts w:ascii="Times New Roman"/>
          <w:b w:val="false"/>
          <w:i w:val="false"/>
          <w:color w:val="000000"/>
          <w:sz w:val="28"/>
        </w:rPr>
        <w:t>
      17.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получатель государственной услуги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регистрирует обращение и передает на рассмотрение руководителю;</w:t>
      </w:r>
      <w:r>
        <w:br/>
      </w:r>
      <w:r>
        <w:rPr>
          <w:rFonts w:ascii="Times New Roman"/>
          <w:b w:val="false"/>
          <w:i w:val="false"/>
          <w:color w:val="000000"/>
          <w:sz w:val="28"/>
        </w:rPr>
        <w:t>
      3) руководитель уполномоченного органа ознакамливается,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готовит Справку,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государственной услуги Справку либо мотивированный ответ об отказе;</w:t>
      </w:r>
      <w:r>
        <w:br/>
      </w:r>
      <w:r>
        <w:rPr>
          <w:rFonts w:ascii="Times New Roman"/>
          <w:b w:val="false"/>
          <w:i w:val="false"/>
          <w:color w:val="000000"/>
          <w:sz w:val="28"/>
        </w:rPr>
        <w:t>
      у акима сельского округа:</w:t>
      </w:r>
      <w:r>
        <w:br/>
      </w:r>
      <w:r>
        <w:rPr>
          <w:rFonts w:ascii="Times New Roman"/>
          <w:b w:val="false"/>
          <w:i w:val="false"/>
          <w:color w:val="000000"/>
          <w:sz w:val="28"/>
        </w:rPr>
        <w:t>
      1) получатель государственной услуги подает заявление акиму сельского округа;</w:t>
      </w:r>
      <w:r>
        <w:br/>
      </w:r>
      <w:r>
        <w:rPr>
          <w:rFonts w:ascii="Times New Roman"/>
          <w:b w:val="false"/>
          <w:i w:val="false"/>
          <w:color w:val="000000"/>
          <w:sz w:val="28"/>
        </w:rPr>
        <w:t>
      2) ответственный специалист аппарата акима сельского округа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регистрирует обращение и передает на рассмотрение акиму сельского округа;</w:t>
      </w:r>
      <w:r>
        <w:br/>
      </w:r>
      <w:r>
        <w:rPr>
          <w:rFonts w:ascii="Times New Roman"/>
          <w:b w:val="false"/>
          <w:i w:val="false"/>
          <w:color w:val="000000"/>
          <w:sz w:val="28"/>
        </w:rPr>
        <w:t>
      3) аким сельского округа ознакамливается, налагает резолюцию и направляет документы ответственному специалисту для дальнейшей организации работы;</w:t>
      </w:r>
      <w:r>
        <w:br/>
      </w:r>
      <w:r>
        <w:rPr>
          <w:rFonts w:ascii="Times New Roman"/>
          <w:b w:val="false"/>
          <w:i w:val="false"/>
          <w:color w:val="000000"/>
          <w:sz w:val="28"/>
        </w:rPr>
        <w:t>
      4) ответственный специалист аппарата акима сельского округа готовит Справку, либо мотивированный ответ об отказе и передает на подписание акиму сельского округа;</w:t>
      </w:r>
      <w:r>
        <w:br/>
      </w:r>
      <w:r>
        <w:rPr>
          <w:rFonts w:ascii="Times New Roman"/>
          <w:b w:val="false"/>
          <w:i w:val="false"/>
          <w:color w:val="000000"/>
          <w:sz w:val="28"/>
        </w:rPr>
        <w:t>
      5) аким сельского округа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аппарата акима сельского округа регистрирует результат оказания государственной услуги и выдает получателю государственной услуги Справку либо мотивированный ответ об отказе.</w:t>
      </w:r>
    </w:p>
    <w:bookmarkEnd w:id="4"/>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Start w:name="z25" w:id="5"/>
    <w:p>
      <w:pPr>
        <w:spacing w:after="0"/>
        <w:ind w:left="0"/>
        <w:jc w:val="both"/>
      </w:pPr>
      <w:r>
        <w:rPr>
          <w:rFonts w:ascii="Times New Roman"/>
          <w:b w:val="false"/>
          <w:i w:val="false"/>
          <w:color w:val="000000"/>
          <w:sz w:val="28"/>
        </w:rPr>
        <w:t>
      19.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сельского округа;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главный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5"/>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Start w:name="z28" w:id="6"/>
    <w:p>
      <w:pPr>
        <w:spacing w:after="0"/>
        <w:ind w:left="0"/>
        <w:jc w:val="both"/>
      </w:pPr>
      <w:r>
        <w:rPr>
          <w:rFonts w:ascii="Times New Roman"/>
          <w:b w:val="false"/>
          <w:i w:val="false"/>
          <w:color w:val="000000"/>
          <w:sz w:val="28"/>
        </w:rPr>
        <w:t>
      22. Ответственными лицами за оказание государственной услуги являются руководитель уполномоченного органа, аким сельского округа, ответственные должностные лица уполномоченного органа,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уполномоченного органа, ответственного за организацию оказания данной государственной услуги, график работы, юридический адрес, телефон, адрес электронной почты которых указаны на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6"/>
    <w:bookmarkStart w:name="z30" w:id="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7"/>
    <w:p>
      <w:pPr>
        <w:spacing w:after="0"/>
        <w:ind w:left="0"/>
        <w:jc w:val="both"/>
      </w:pPr>
      <w:r>
        <w:rPr>
          <w:rFonts w:ascii="Times New Roman"/>
          <w:b w:val="false"/>
          <w:i w:val="false"/>
          <w:color w:val="000000"/>
          <w:sz w:val="28"/>
        </w:rPr>
        <w:t>В уполномоченный орган (аким поселка,</w:t>
      </w:r>
      <w:r>
        <w:br/>
      </w:r>
      <w:r>
        <w:rPr>
          <w:rFonts w:ascii="Times New Roman"/>
          <w:b w:val="false"/>
          <w:i w:val="false"/>
          <w:color w:val="000000"/>
          <w:sz w:val="28"/>
        </w:rPr>
        <w:t>
аула (села), аульного (сельского) округа)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 личности №________ выдано</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дата выдачи __________________________________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p>
    <w:p>
      <w:pPr>
        <w:spacing w:after="0"/>
        <w:ind w:left="0"/>
        <w:jc w:val="both"/>
      </w:pPr>
      <w:r>
        <w:rPr>
          <w:rFonts w:ascii="Times New Roman"/>
          <w:b w:val="false"/>
          <w:i w:val="false"/>
          <w:color w:val="000000"/>
          <w:sz w:val="28"/>
        </w:rPr>
        <w:t>"____" __________ 20 ___г.</w:t>
      </w:r>
      <w:r>
        <w:br/>
      </w:r>
      <w:r>
        <w:rPr>
          <w:rFonts w:ascii="Times New Roman"/>
          <w:b w:val="false"/>
          <w:i w:val="false"/>
          <w:color w:val="000000"/>
          <w:sz w:val="28"/>
        </w:rPr>
        <w:t>
__________________________</w:t>
      </w:r>
      <w:r>
        <w:br/>
      </w:r>
      <w:r>
        <w:rPr>
          <w:rFonts w:ascii="Times New Roman"/>
          <w:b w:val="false"/>
          <w:i w:val="false"/>
          <w:color w:val="000000"/>
          <w:sz w:val="28"/>
        </w:rPr>
        <w:t>
(подпись заявителя)</w:t>
      </w:r>
    </w:p>
    <w:bookmarkStart w:name="z31" w:id="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8"/>
    <w:p>
      <w:pPr>
        <w:spacing w:after="0"/>
        <w:ind w:left="0"/>
        <w:jc w:val="both"/>
      </w:pPr>
      <w:r>
        <w:rPr>
          <w:rFonts w:ascii="Times New Roman"/>
          <w:b w:val="false"/>
          <w:i w:val="false"/>
          <w:color w:val="000000"/>
          <w:sz w:val="28"/>
        </w:rPr>
        <w:t>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w:t>
      </w:r>
    </w:p>
    <w:bookmarkStart w:name="z32" w:id="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принадлежность заявителя (семьи)</w:t>
      </w:r>
      <w:r>
        <w:br/>
      </w:r>
      <w:r>
        <w:rPr>
          <w:rFonts w:ascii="Times New Roman"/>
          <w:b w:val="false"/>
          <w:i w:val="false"/>
          <w:color w:val="000000"/>
          <w:sz w:val="28"/>
        </w:rPr>
        <w:t>
к получателям адресной социальной помощи»</w:t>
      </w:r>
    </w:p>
    <w:bookmarkEnd w:id="9"/>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349"/>
        <w:gridCol w:w="3099"/>
        <w:gridCol w:w="35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в уполномоченном органе</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58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 обращения и</w:t>
            </w:r>
            <w:r>
              <w:br/>
            </w:r>
            <w:r>
              <w:rPr>
                <w:rFonts w:ascii="Times New Roman"/>
                <w:b w:val="false"/>
                <w:i w:val="false"/>
                <w:color w:val="000000"/>
                <w:sz w:val="20"/>
              </w:rPr>
              <w:t>
передача на рассмотрение руководителю уполномоченного органа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либо мотивированный ответ об отказе </w:t>
            </w:r>
          </w:p>
        </w:tc>
      </w:tr>
      <w:tr>
        <w:trPr>
          <w:trHeight w:val="21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w:t>
            </w:r>
            <w:r>
              <w:br/>
            </w:r>
            <w:r>
              <w:rPr>
                <w:rFonts w:ascii="Times New Roman"/>
                <w:b w:val="false"/>
                <w:i w:val="false"/>
                <w:color w:val="000000"/>
                <w:sz w:val="20"/>
              </w:rPr>
              <w:t>
5 минут</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328"/>
        <w:gridCol w:w="3099"/>
        <w:gridCol w:w="35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у акима сельского округа</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r>
      <w:tr>
        <w:trPr>
          <w:trHeight w:val="58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 обращения и</w:t>
            </w:r>
            <w:r>
              <w:br/>
            </w:r>
            <w:r>
              <w:rPr>
                <w:rFonts w:ascii="Times New Roman"/>
                <w:b w:val="false"/>
                <w:i w:val="false"/>
                <w:color w:val="000000"/>
                <w:sz w:val="20"/>
              </w:rPr>
              <w:t>
передача на рассмотрение акиму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ответственному специалисту для работы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9"/>
        <w:gridCol w:w="4308"/>
        <w:gridCol w:w="3773"/>
      </w:tblGrid>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отвественный специалист аппарата акима сельского округа</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 После рассмотрения налагает резолюцию и направляет документы главному специалисту на исполнение</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Осуществляет рассмотрение документов и готовит Справку и направляет руководителю уполномоченного органа для подписания</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 Регистрирует результат оказания государственной услуги и выдает получателю государственной услуги Справку</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Справку и направляет ответственному специалисту уполномоченного органа, аппарата акима сельского округа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0"/>
        <w:gridCol w:w="4302"/>
        <w:gridCol w:w="3788"/>
      </w:tblGrid>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ответственный специалист аппарата акима сельского округа</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 После рассмотрения налагает резолюцию и направляет документы главному специалисту уполномоченного органа, ответственному специалисту аппарата акима сельского округа на исполнение</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 Готовит мотивированный ответ об отказе и направляет руководителю уполномоченного органа для подписания</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 Регистрирует результат оказания государственной услуги и выдает получателю государственной услуги мотивированный ответ об отказе</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ответственному специалисту уполномоченного органа, аппарата акима сельского округа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0"/>
    <w:p>
      <w:pPr>
        <w:spacing w:after="0"/>
        <w:ind w:left="0"/>
        <w:jc w:val="left"/>
      </w:pPr>
      <w:r>
        <w:rPr>
          <w:rFonts w:ascii="Times New Roman"/>
          <w:b/>
          <w:i w:val="false"/>
          <w:color w:val="000000"/>
        </w:rPr>
        <w:t xml:space="preserve"> Схема № 1, отражающая взаимосвязь между логической</w:t>
      </w:r>
      <w:r>
        <w:br/>
      </w:r>
      <w:r>
        <w:rPr>
          <w:rFonts w:ascii="Times New Roman"/>
          <w:b/>
          <w:i w:val="false"/>
          <w:color w:val="000000"/>
        </w:rPr>
        <w:t>
последовательностью административных действий в уполномоченном органе</w:t>
      </w:r>
    </w:p>
    <w:p>
      <w:pPr>
        <w:spacing w:after="0"/>
        <w:ind w:left="0"/>
        <w:jc w:val="both"/>
      </w:pPr>
      <w:r>
        <w:drawing>
          <wp:inline distT="0" distB="0" distL="0" distR="0">
            <wp:extent cx="81280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0" cy="7975600"/>
                    </a:xfrm>
                    <a:prstGeom prst="rect">
                      <a:avLst/>
                    </a:prstGeom>
                  </pic:spPr>
                </pic:pic>
              </a:graphicData>
            </a:graphic>
          </wp:inline>
        </w:drawing>
      </w:r>
    </w:p>
    <w:p>
      <w:pPr>
        <w:spacing w:after="0"/>
        <w:ind w:left="0"/>
        <w:jc w:val="left"/>
      </w:pPr>
      <w:r>
        <w:rPr>
          <w:rFonts w:ascii="Times New Roman"/>
          <w:b/>
          <w:i w:val="false"/>
          <w:color w:val="000000"/>
        </w:rPr>
        <w:t xml:space="preserve"> Схема № 2, отражающая взаимосвязь между логической</w:t>
      </w:r>
      <w:r>
        <w:br/>
      </w:r>
      <w:r>
        <w:rPr>
          <w:rFonts w:ascii="Times New Roman"/>
          <w:b/>
          <w:i w:val="false"/>
          <w:color w:val="000000"/>
        </w:rPr>
        <w:t>
последовательностью административных действий у акима сельского округа</w:t>
      </w:r>
    </w:p>
    <w:p>
      <w:pPr>
        <w:spacing w:after="0"/>
        <w:ind w:left="0"/>
        <w:jc w:val="both"/>
      </w:pPr>
      <w:r>
        <w:drawing>
          <wp:inline distT="0" distB="0" distL="0" distR="0">
            <wp:extent cx="83693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69300" cy="829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