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b903" w14:textId="835b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19 октября 2012 года N 406. Зарегистрировано Департаментом юстиции Северо-Казахстанской области 21 ноября 2012 года N 1955. Утратило силу постановлением акимата Есильского района Северо-Казахстанской области от 23 мая 2013 года N 202</w:t>
      </w:r>
    </w:p>
    <w:p>
      <w:pPr>
        <w:spacing w:after="0"/>
        <w:ind w:left="0"/>
        <w:jc w:val="both"/>
      </w:pPr>
      <w:r>
        <w:rPr>
          <w:rFonts w:ascii="Times New Roman"/>
          <w:b w:val="false"/>
          <w:i w:val="false"/>
          <w:color w:val="ff0000"/>
          <w:sz w:val="28"/>
        </w:rPr>
        <w:t>      Сноска. Утратило силу постановлением акимата Есильского района Северо-Казахстанской области от 23.05.2013 N 202</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2012 года № 1059 «О внесении изменений и дополнений в некоторые решения Правительства Республики Казахстан» акимат Есильского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начальника государственного учреждения «Отдел занятости и социальных программ Есильского района Северо-Казахстанской области» Бужукаева Толегена Сериковича.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Е.Нуракаев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 19 октября 2012 года № 406</w:t>
      </w:r>
    </w:p>
    <w:bookmarkEnd w:id="1"/>
    <w:bookmarkStart w:name="z6" w:id="2"/>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Есильского района Северо-Казахстанской области».</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xml:space="preserve">
      2. Государственная услуга предоставляется государственным учреждением «Отдел занятости и социальных программ Есильского района Северо–Казахстанской области» (далее - уполномоченный орган), расположенного по адресу: Северо-Казахстанская область, Есильский район, село Явленка, ул. Ленина,20, адрес электронной почты: </w:t>
      </w:r>
      <w:r>
        <w:rPr>
          <w:rFonts w:ascii="Times New Roman"/>
          <w:b w:val="false"/>
          <w:i w:val="false"/>
          <w:color w:val="000000"/>
          <w:sz w:val="28"/>
          <w:u w:val="single"/>
        </w:rPr>
        <w:t>ro_esil@mail.ru</w:t>
      </w:r>
      <w:r>
        <w:rPr>
          <w:rFonts w:ascii="Times New Roman"/>
          <w:b w:val="false"/>
          <w:i w:val="false"/>
          <w:color w:val="000000"/>
          <w:sz w:val="28"/>
        </w:rPr>
        <w:t>, телефон 8-715-43-2-19-99.</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www.ozsp-esil.sko.kz</w:t>
      </w:r>
      <w:r>
        <w:rPr>
          <w:rFonts w:ascii="Times New Roman"/>
          <w:b w:val="false"/>
          <w:i w:val="false"/>
          <w:color w:val="000000"/>
          <w:sz w:val="28"/>
        </w:rPr>
        <w:t>,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(далее – Справка),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 и акима сельского округа:</w:t>
      </w:r>
      <w:r>
        <w:br/>
      </w:r>
      <w:r>
        <w:rPr>
          <w:rFonts w:ascii="Times New Roman"/>
          <w:b w:val="false"/>
          <w:i w:val="false"/>
          <w:color w:val="000000"/>
          <w:sz w:val="28"/>
        </w:rPr>
        <w:t>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6"/>
    <w:bookmarkStart w:name="z18"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9" w:id="8"/>
    <w:p>
      <w:pPr>
        <w:spacing w:after="0"/>
        <w:ind w:left="0"/>
        <w:jc w:val="both"/>
      </w:pPr>
      <w:r>
        <w:rPr>
          <w:rFonts w:ascii="Times New Roman"/>
          <w:b w:val="false"/>
          <w:i w:val="false"/>
          <w:color w:val="000000"/>
          <w:sz w:val="28"/>
        </w:rPr>
        <w:t xml:space="preserve">
      10.Государственная услуга оказывается физическим лицам - получателям государственной адресной социальной помощи </w:t>
      </w:r>
      <w:r>
        <w:br/>
      </w:r>
      <w:r>
        <w:rPr>
          <w:rFonts w:ascii="Times New Roman"/>
          <w:b w:val="false"/>
          <w:i w:val="false"/>
          <w:color w:val="000000"/>
          <w:sz w:val="28"/>
        </w:rPr>
        <w:t>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13. Форма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14.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15.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16.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17.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получатель государственной услуги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готовит Справку,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государственной услуги Справку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получатель государственной услуги подает заявление акиму сельского округа;</w:t>
      </w:r>
      <w:r>
        <w:br/>
      </w:r>
      <w:r>
        <w:rPr>
          <w:rFonts w:ascii="Times New Roman"/>
          <w:b w:val="false"/>
          <w:i w:val="false"/>
          <w:color w:val="000000"/>
          <w:sz w:val="28"/>
        </w:rPr>
        <w:t>
      2) ответственный специалист аппарата акима сельского округа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акиму сельского округа;</w:t>
      </w:r>
      <w:r>
        <w:br/>
      </w:r>
      <w:r>
        <w:rPr>
          <w:rFonts w:ascii="Times New Roman"/>
          <w:b w:val="false"/>
          <w:i w:val="false"/>
          <w:color w:val="000000"/>
          <w:sz w:val="28"/>
        </w:rPr>
        <w:t>
      3) аким сельского округа ознакамливается, налагает резолюцию и направляет документы ответственному специалисту для дальнейшей организации работы;</w:t>
      </w:r>
      <w:r>
        <w:br/>
      </w:r>
      <w:r>
        <w:rPr>
          <w:rFonts w:ascii="Times New Roman"/>
          <w:b w:val="false"/>
          <w:i w:val="false"/>
          <w:color w:val="000000"/>
          <w:sz w:val="28"/>
        </w:rPr>
        <w:t>
      4) ответственный специалист аппарата акима сельского округа готовит Справку, либо мотивированный ответ об отказе и передает на подписание акиму сельского округа;</w:t>
      </w:r>
      <w:r>
        <w:br/>
      </w:r>
      <w:r>
        <w:rPr>
          <w:rFonts w:ascii="Times New Roman"/>
          <w:b w:val="false"/>
          <w:i w:val="false"/>
          <w:color w:val="000000"/>
          <w:sz w:val="28"/>
        </w:rPr>
        <w:t>
      5) аким сельского округа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аппарата акима сельского округа регистрирует результат оказания государственной услуги и выдает получателю государственной услуги Справку либо мотивированный ответ об отказе.</w:t>
      </w:r>
    </w:p>
    <w:bookmarkEnd w:id="8"/>
    <w:bookmarkStart w:name="z28"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9" w:id="10"/>
    <w:p>
      <w:pPr>
        <w:spacing w:after="0"/>
        <w:ind w:left="0"/>
        <w:jc w:val="both"/>
      </w:pP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ответственный специалист аппарата акима сельского округа;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10"/>
    <w:bookmarkStart w:name="z32"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33" w:id="12"/>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руководитель уполномоченного органа, аким сельского округа, ответственные должностные лица уполномоченного органа и аппарата акима сельского округа,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2"/>
    <w:bookmarkStart w:name="z35"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3"/>
    <w:p>
      <w:pPr>
        <w:spacing w:after="0"/>
        <w:ind w:left="0"/>
        <w:jc w:val="both"/>
      </w:pPr>
      <w:r>
        <w:rPr>
          <w:rFonts w:ascii="Times New Roman"/>
          <w:b w:val="false"/>
          <w:i w:val="false"/>
          <w:color w:val="000000"/>
          <w:sz w:val="28"/>
        </w:rPr>
        <w:t>В уполномоченный орган (аким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 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r>
        <w:br/>
      </w:r>
      <w:r>
        <w:rPr>
          <w:rFonts w:ascii="Times New Roman"/>
          <w:b w:val="false"/>
          <w:i w:val="false"/>
          <w:color w:val="000000"/>
          <w:sz w:val="28"/>
        </w:rPr>
        <w:t>
"____"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xml:space="preserve">
(подпись заявителя) </w:t>
      </w:r>
    </w:p>
    <w:bookmarkStart w:name="z36"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4"/>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Start w:name="z37" w:id="1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5"/>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38" w:id="16"/>
    <w:p>
      <w:pPr>
        <w:spacing w:after="0"/>
        <w:ind w:left="0"/>
        <w:jc w:val="left"/>
      </w:pPr>
      <w:r>
        <w:rPr>
          <w:rFonts w:ascii="Times New Roman"/>
          <w:b/>
          <w:i w:val="false"/>
          <w:color w:val="000000"/>
        </w:rPr>
        <w:t xml:space="preserve"> 
Таблица 1. Описание действий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90"/>
        <w:gridCol w:w="1826"/>
        <w:gridCol w:w="1361"/>
        <w:gridCol w:w="1933"/>
        <w:gridCol w:w="4"/>
        <w:gridCol w:w="30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в уполномоченном органе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w:t>
            </w:r>
            <w:r>
              <w:br/>
            </w:r>
            <w:r>
              <w:rPr>
                <w:rFonts w:ascii="Times New Roman"/>
                <w:b w:val="false"/>
                <w:i w:val="false"/>
                <w:color w:val="000000"/>
                <w:sz w:val="20"/>
              </w:rPr>
              <w:t>
передача на рассмотрение руководителю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Резолюция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у акима сельского округа</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r>
      <w:tr>
        <w:trPr>
          <w:trHeight w:val="5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акиму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ответственному специалисту для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7"/>
    <w:p>
      <w:pPr>
        <w:spacing w:after="0"/>
        <w:ind w:left="0"/>
        <w:jc w:val="left"/>
      </w:pPr>
      <w:r>
        <w:rPr>
          <w:rFonts w:ascii="Times New Roman"/>
          <w:b/>
          <w:i w:val="false"/>
          <w:color w:val="000000"/>
        </w:rPr>
        <w:t xml:space="preserve"> 
Таблица 2. Варианты использования. Основной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отвественный специалист аппарата акима сельского округа</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на исполнение</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готовит Справку и направляет руководителю уполномоченного органа для подписания</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xml:space="preserve">
Регистрирует результат оказания государственной услуги и выдает получателю государственной услуги Справку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xml:space="preserve">
Подписывает Справку и направляет ответственному специалисту уполномоченного органа, аппарата акима сельского округа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8"/>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ответственному специалисту аппарата акима сельского округа на исполнение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государственной услуги мотивированный ответ об отказе</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мотивированный ответ об отказе и направляет ответственному специалисту уполномоченного органа, аппарата акима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9"/>
    <w:bookmarkStart w:name="z42" w:id="20"/>
    <w:p>
      <w:pPr>
        <w:spacing w:after="0"/>
        <w:ind w:left="0"/>
        <w:jc w:val="left"/>
      </w:pPr>
      <w:r>
        <w:rPr>
          <w:rFonts w:ascii="Times New Roman"/>
          <w:b/>
          <w:i w:val="false"/>
          <w:color w:val="000000"/>
        </w:rPr>
        <w:t xml:space="preserve"> 
Схема № 1, отражающая взаимосвязь между логической</w:t>
      </w:r>
      <w:r>
        <w:br/>
      </w:r>
      <w:r>
        <w:rPr>
          <w:rFonts w:ascii="Times New Roman"/>
          <w:b/>
          <w:i w:val="false"/>
          <w:color w:val="000000"/>
        </w:rPr>
        <w:t>
последовательностью административных действий в уполномоченном органе</w:t>
      </w:r>
    </w:p>
    <w:bookmarkEnd w:id="20"/>
    <w:p>
      <w:pPr>
        <w:spacing w:after="0"/>
        <w:ind w:left="0"/>
        <w:jc w:val="both"/>
      </w:pPr>
      <w:r>
        <w:drawing>
          <wp:inline distT="0" distB="0" distL="0" distR="0">
            <wp:extent cx="6388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6350000"/>
                    </a:xfrm>
                    <a:prstGeom prst="rect">
                      <a:avLst/>
                    </a:prstGeom>
                  </pic:spPr>
                </pic:pic>
              </a:graphicData>
            </a:graphic>
          </wp:inline>
        </w:drawing>
      </w:r>
    </w:p>
    <w:bookmarkStart w:name="z43" w:id="21"/>
    <w:p>
      <w:pPr>
        <w:spacing w:after="0"/>
        <w:ind w:left="0"/>
        <w:jc w:val="left"/>
      </w:pPr>
      <w:r>
        <w:rPr>
          <w:rFonts w:ascii="Times New Roman"/>
          <w:b/>
          <w:i w:val="false"/>
          <w:color w:val="000000"/>
        </w:rPr>
        <w:t xml:space="preserve"> 
Схема № 2, отражающая взаимосвязь между логической</w:t>
      </w:r>
      <w:r>
        <w:br/>
      </w:r>
      <w:r>
        <w:rPr>
          <w:rFonts w:ascii="Times New Roman"/>
          <w:b/>
          <w:i w:val="false"/>
          <w:color w:val="000000"/>
        </w:rPr>
        <w:t>
последовательностью административных действий у акима сельского округа</w:t>
      </w:r>
    </w:p>
    <w:bookmarkEnd w:id="21"/>
    <w:p>
      <w:pPr>
        <w:spacing w:after="0"/>
        <w:ind w:left="0"/>
        <w:jc w:val="both"/>
      </w:pPr>
      <w:r>
        <w:drawing>
          <wp:inline distT="0" distB="0" distL="0" distR="0">
            <wp:extent cx="63246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6591300"/>
                    </a:xfrm>
                    <a:prstGeom prst="rect">
                      <a:avLst/>
                    </a:prstGeom>
                  </pic:spPr>
                </pic:pic>
              </a:graphicData>
            </a:graphic>
          </wp:inline>
        </w:drawing>
      </w:r>
    </w:p>
    <w:bookmarkStart w:name="z44" w:id="2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 19 октября 2012 года № 406</w:t>
      </w:r>
    </w:p>
    <w:bookmarkEnd w:id="22"/>
    <w:bookmarkStart w:name="z45" w:id="23"/>
    <w:p>
      <w:pPr>
        <w:spacing w:after="0"/>
        <w:ind w:left="0"/>
        <w:jc w:val="left"/>
      </w:pPr>
      <w:r>
        <w:rPr>
          <w:rFonts w:ascii="Times New Roman"/>
          <w:b/>
          <w:i w:val="false"/>
          <w:color w:val="000000"/>
        </w:rPr>
        <w:t xml:space="preserve"> 
Регламент государственной услуги «Выдача направлений лицам на участие в активных формах содействия занятости»</w:t>
      </w:r>
    </w:p>
    <w:bookmarkEnd w:id="23"/>
    <w:bookmarkStart w:name="z46" w:id="24"/>
    <w:p>
      <w:pPr>
        <w:spacing w:after="0"/>
        <w:ind w:left="0"/>
        <w:jc w:val="left"/>
      </w:pPr>
      <w:r>
        <w:rPr>
          <w:rFonts w:ascii="Times New Roman"/>
          <w:b/>
          <w:i w:val="false"/>
          <w:color w:val="000000"/>
        </w:rPr>
        <w:t xml:space="preserve"> 
1. Основные понятия</w:t>
      </w:r>
    </w:p>
    <w:bookmarkEnd w:id="24"/>
    <w:bookmarkStart w:name="z47" w:id="25"/>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Есильского района Северо-Казахстанской области».</w:t>
      </w:r>
    </w:p>
    <w:bookmarkEnd w:id="25"/>
    <w:bookmarkStart w:name="z48" w:id="26"/>
    <w:p>
      <w:pPr>
        <w:spacing w:after="0"/>
        <w:ind w:left="0"/>
        <w:jc w:val="left"/>
      </w:pPr>
      <w:r>
        <w:rPr>
          <w:rFonts w:ascii="Times New Roman"/>
          <w:b/>
          <w:i w:val="false"/>
          <w:color w:val="000000"/>
        </w:rPr>
        <w:t xml:space="preserve"> 
2. Общие положения</w:t>
      </w:r>
    </w:p>
    <w:bookmarkEnd w:id="26"/>
    <w:bookmarkStart w:name="z49" w:id="27"/>
    <w:p>
      <w:pPr>
        <w:spacing w:after="0"/>
        <w:ind w:left="0"/>
        <w:jc w:val="both"/>
      </w:pPr>
      <w:r>
        <w:rPr>
          <w:rFonts w:ascii="Times New Roman"/>
          <w:b w:val="false"/>
          <w:i w:val="false"/>
          <w:color w:val="000000"/>
          <w:sz w:val="28"/>
        </w:rPr>
        <w:t xml:space="preserve">
      2. Государственная услуга предоставляется государственным учреждением «Отдел занятости и социальных программ Есильского района Северо-Казахстанской области» (далее - уполномоченный орган), расположенного по адресу: Северо-Казахстанская область, Есильский район, село Явленка, ул.Ленина, 20, адрес электронной почты: </w:t>
      </w:r>
      <w:r>
        <w:rPr>
          <w:rFonts w:ascii="Times New Roman"/>
          <w:b w:val="false"/>
          <w:i w:val="false"/>
          <w:color w:val="000000"/>
          <w:sz w:val="28"/>
          <w:u w:val="single"/>
        </w:rPr>
        <w:t>ro_esil@mail.ru</w:t>
      </w:r>
      <w:r>
        <w:rPr>
          <w:rFonts w:ascii="Times New Roman"/>
          <w:b w:val="false"/>
          <w:i w:val="false"/>
          <w:color w:val="000000"/>
          <w:sz w:val="28"/>
        </w:rPr>
        <w:t>, телефон 8-715-43-2-19-99.</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www.ozsp-esil.sko.kz</w:t>
      </w:r>
      <w:r>
        <w:rPr>
          <w:rFonts w:ascii="Times New Roman"/>
          <w:b w:val="false"/>
          <w:i w:val="false"/>
          <w:color w:val="000000"/>
          <w:sz w:val="28"/>
        </w:rPr>
        <w:t>,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(далее - Направление)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w:t>
      </w:r>
      <w:r>
        <w:br/>
      </w:r>
      <w:r>
        <w:rPr>
          <w:rFonts w:ascii="Times New Roman"/>
          <w:b w:val="false"/>
          <w:i w:val="false"/>
          <w:color w:val="000000"/>
          <w:sz w:val="28"/>
        </w:rPr>
        <w:t>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w:t>
      </w:r>
    </w:p>
    <w:bookmarkEnd w:id="27"/>
    <w:bookmarkStart w:name="z57" w:id="2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8"/>
    <w:bookmarkStart w:name="z58" w:id="29"/>
    <w:p>
      <w:pPr>
        <w:spacing w:after="0"/>
        <w:ind w:left="0"/>
        <w:jc w:val="both"/>
      </w:pPr>
      <w:r>
        <w:rPr>
          <w:rFonts w:ascii="Times New Roman"/>
          <w:b w:val="false"/>
          <w:i w:val="false"/>
          <w:color w:val="000000"/>
          <w:sz w:val="28"/>
        </w:rPr>
        <w:t>
      10.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В уполномоченном органе заявления на получение государственной услуги не заполняются.</w:t>
      </w:r>
      <w:r>
        <w:br/>
      </w:r>
      <w:r>
        <w:rPr>
          <w:rFonts w:ascii="Times New Roman"/>
          <w:b w:val="false"/>
          <w:i w:val="false"/>
          <w:color w:val="000000"/>
          <w:sz w:val="28"/>
        </w:rPr>
        <w:t>
</w:t>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При обращении получателю государственной услуги выдается направление на участие в активных формах содействия занятости.</w:t>
      </w:r>
      <w:r>
        <w:br/>
      </w:r>
      <w:r>
        <w:rPr>
          <w:rFonts w:ascii="Times New Roman"/>
          <w:b w:val="false"/>
          <w:i w:val="false"/>
          <w:color w:val="000000"/>
          <w:sz w:val="28"/>
        </w:rPr>
        <w:t>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14.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w:t>
      </w:r>
      <w:r>
        <w:br/>
      </w:r>
      <w:r>
        <w:rPr>
          <w:rFonts w:ascii="Times New Roman"/>
          <w:b w:val="false"/>
          <w:i w:val="false"/>
          <w:color w:val="000000"/>
          <w:sz w:val="28"/>
        </w:rPr>
        <w:t>
      2) ответственный специалист уполномоченного органа принимает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налагает резолюцию обращения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Направление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Направление либо мотивированный ответ об отказе.</w:t>
      </w:r>
    </w:p>
    <w:bookmarkEnd w:id="29"/>
    <w:bookmarkStart w:name="z64" w:id="3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30"/>
    <w:bookmarkStart w:name="z65" w:id="31"/>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31"/>
    <w:bookmarkStart w:name="z68" w:id="32"/>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32"/>
    <w:bookmarkStart w:name="z69" w:id="33"/>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ответственные должностные лица уполномоченного органа,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3"/>
    <w:bookmarkStart w:name="z71" w:id="34"/>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34"/>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72" w:id="35"/>
    <w:p>
      <w:pPr>
        <w:spacing w:after="0"/>
        <w:ind w:left="0"/>
        <w:jc w:val="left"/>
      </w:pPr>
      <w:r>
        <w:rPr>
          <w:rFonts w:ascii="Times New Roman"/>
          <w:b/>
          <w:i w:val="false"/>
          <w:color w:val="000000"/>
        </w:rPr>
        <w:t xml:space="preserve"> 
Таблица 1. Описание действий СФЕ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876"/>
        <w:gridCol w:w="1771"/>
        <w:gridCol w:w="2106"/>
        <w:gridCol w:w="2143"/>
        <w:gridCol w:w="20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процедуры,операции) и их описание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руководителю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Направления либо мотивированного ответа об отказе, передача руководителю уполномоченного органа для подписания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Направления или мотивированного ответа об отказе, передача ответственному специалисту для выдачи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и выдача получателю государственной услуги Направления либо мотивированного ответа об отказе</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обращения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либо мотивированный ответ об отказе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Направления либо мотивированного ответа об отказе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Направления либо мотивированного ответа об отказе</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left"/>
      </w:pPr>
      <w:r>
        <w:rPr>
          <w:rFonts w:ascii="Times New Roman"/>
          <w:b/>
          <w:i w:val="false"/>
          <w:color w:val="000000"/>
        </w:rPr>
        <w:t xml:space="preserve"> 
Таблица 2. Варианты использования. Основной процесс.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оформляет Направление и передает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Направление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Направление передает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7"/>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мотивированный ответ об отказе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8"/>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38"/>
    <w:bookmarkStart w:name="z76"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39"/>
    <w:p>
      <w:pPr>
        <w:spacing w:after="0"/>
        <w:ind w:left="0"/>
        <w:jc w:val="both"/>
      </w:pPr>
      <w:r>
        <w:drawing>
          <wp:inline distT="0" distB="0" distL="0" distR="0">
            <wp:extent cx="6489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6426200"/>
                    </a:xfrm>
                    <a:prstGeom prst="rect">
                      <a:avLst/>
                    </a:prstGeom>
                  </pic:spPr>
                </pic:pic>
              </a:graphicData>
            </a:graphic>
          </wp:inline>
        </w:drawing>
      </w:r>
    </w:p>
    <w:bookmarkStart w:name="z77" w:id="4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 19 октября 2012 года № 406</w:t>
      </w:r>
    </w:p>
    <w:bookmarkEnd w:id="40"/>
    <w:bookmarkStart w:name="z78" w:id="41"/>
    <w:p>
      <w:pPr>
        <w:spacing w:after="0"/>
        <w:ind w:left="0"/>
        <w:jc w:val="left"/>
      </w:pPr>
      <w:r>
        <w:rPr>
          <w:rFonts w:ascii="Times New Roman"/>
          <w:b/>
          <w:i w:val="false"/>
          <w:color w:val="000000"/>
        </w:rPr>
        <w:t xml:space="preserve"> 
Регламент государственной услуги «Назначение государственной адресной социальной помощи»</w:t>
      </w:r>
    </w:p>
    <w:bookmarkEnd w:id="41"/>
    <w:bookmarkStart w:name="z79" w:id="42"/>
    <w:p>
      <w:pPr>
        <w:spacing w:after="0"/>
        <w:ind w:left="0"/>
        <w:jc w:val="left"/>
      </w:pPr>
      <w:r>
        <w:rPr>
          <w:rFonts w:ascii="Times New Roman"/>
          <w:b/>
          <w:i w:val="false"/>
          <w:color w:val="000000"/>
        </w:rPr>
        <w:t xml:space="preserve"> 
1. Основные понятия</w:t>
      </w:r>
    </w:p>
    <w:bookmarkEnd w:id="42"/>
    <w:bookmarkStart w:name="z80" w:id="43"/>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Есильского района Северо-Казахстанской области»;</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43"/>
    <w:bookmarkStart w:name="z81" w:id="44"/>
    <w:p>
      <w:pPr>
        <w:spacing w:after="0"/>
        <w:ind w:left="0"/>
        <w:jc w:val="left"/>
      </w:pPr>
      <w:r>
        <w:rPr>
          <w:rFonts w:ascii="Times New Roman"/>
          <w:b/>
          <w:i w:val="false"/>
          <w:color w:val="000000"/>
        </w:rPr>
        <w:t xml:space="preserve"> 
2. Общие положения</w:t>
      </w:r>
    </w:p>
    <w:bookmarkEnd w:id="44"/>
    <w:bookmarkStart w:name="z82" w:id="45"/>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Есильского района Северо-Казахстанской области» (далее - уполномоченный орган), расположенного по адресу: Северо-Казахстанская область, Есильский район, село Явленка, ул. Ленина, 20, адрес электронной почты: ro_esil@mail.ru, телефон 8-715-43-2-19-99.</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www.ozsp-esil.sko.kz</w:t>
      </w:r>
      <w:r>
        <w:rPr>
          <w:rFonts w:ascii="Times New Roman"/>
          <w:b w:val="false"/>
          <w:i w:val="false"/>
          <w:color w:val="000000"/>
          <w:sz w:val="28"/>
        </w:rPr>
        <w:t>,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45"/>
    <w:bookmarkStart w:name="z88" w:id="4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6"/>
    <w:bookmarkStart w:name="z89" w:id="47"/>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График работы уполномоченного органа, акима сельского округа:</w:t>
      </w:r>
      <w:r>
        <w:br/>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13.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и заявление проводит регистрацию обращения,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с поступившими документами,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5) участковая комиссия, в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срок со дня получения документов из уполномоченного органа готовит заключение на основании представленных документов и (или) результатов обследования материального положения потребителя (семьи) в день подготовки заключения передает его в уполномоченный орган;</w:t>
      </w:r>
      <w:r>
        <w:br/>
      </w:r>
      <w:r>
        <w:rPr>
          <w:rFonts w:ascii="Times New Roman"/>
          <w:b w:val="false"/>
          <w:i w:val="false"/>
          <w:color w:val="000000"/>
          <w:sz w:val="28"/>
        </w:rPr>
        <w:t>
      6) руководитель уполномоченного органа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главный специалист уполномоченного органа оформляет уведомление о назначении государственной адресной социальной помощи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направляет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потребитель подает заявление акиму аульного (сельского) округа;</w:t>
      </w:r>
      <w:r>
        <w:br/>
      </w:r>
      <w:r>
        <w:rPr>
          <w:rFonts w:ascii="Times New Roman"/>
          <w:b w:val="false"/>
          <w:i w:val="false"/>
          <w:color w:val="000000"/>
          <w:sz w:val="28"/>
        </w:rPr>
        <w:t>
      2) ответственный специалист аппарата акима аульного (сельского) округа принимает заявление и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выдает потребителю талон и передает документы на рассмотрение акиму сельского округа;</w:t>
      </w:r>
      <w:r>
        <w:br/>
      </w:r>
      <w:r>
        <w:rPr>
          <w:rFonts w:ascii="Times New Roman"/>
          <w:b w:val="false"/>
          <w:i w:val="false"/>
          <w:color w:val="000000"/>
          <w:sz w:val="28"/>
        </w:rPr>
        <w:t>
      3) аким сельского округа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4) участковая комиссия в течении пяти рабочих дней со дня получения документов от акима аульного (сельского) округа, готовит заключение на основании представленных документов и (или) результатов обследования материального положения заявителя (семьи) и в день подготовки заключения передает его акиму аульного (сельского) округа;</w:t>
      </w:r>
      <w:r>
        <w:br/>
      </w:r>
      <w:r>
        <w:rPr>
          <w:rFonts w:ascii="Times New Roman"/>
          <w:b w:val="false"/>
          <w:i w:val="false"/>
          <w:color w:val="000000"/>
          <w:sz w:val="28"/>
        </w:rPr>
        <w:t>
      5) ответственный специалист аппарата акима аульного (сельского) округа направляет в уполномоченный орган документы и заключение участковой комиссии;</w:t>
      </w:r>
      <w:r>
        <w:br/>
      </w:r>
      <w:r>
        <w:rPr>
          <w:rFonts w:ascii="Times New Roman"/>
          <w:b w:val="false"/>
          <w:i w:val="false"/>
          <w:color w:val="000000"/>
          <w:sz w:val="28"/>
        </w:rPr>
        <w:t>
      6) уполномоченный орган, в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срок со дня принятия документов от акима аульного (сельского) округа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ответственный специалист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в книге результат оказания государственной услуги и направляет уведомление либо мотивированный ответ об отказе акиму аульного (сельского) округа;</w:t>
      </w:r>
      <w:r>
        <w:br/>
      </w:r>
      <w:r>
        <w:rPr>
          <w:rFonts w:ascii="Times New Roman"/>
          <w:b w:val="false"/>
          <w:i w:val="false"/>
          <w:color w:val="000000"/>
          <w:sz w:val="28"/>
        </w:rPr>
        <w:t>
      10) ответственный специалист аппарата акима аульного (сельского) округа регистрирует в книге результат оказания государственной услуги и выдает потребителю уведомление либо мотивированный ответ об отказе.</w:t>
      </w:r>
    </w:p>
    <w:bookmarkEnd w:id="47"/>
    <w:bookmarkStart w:name="z97" w:id="4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8"/>
    <w:bookmarkStart w:name="z98" w:id="49"/>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аульного (сельского) округа;</w:t>
      </w:r>
      <w:r>
        <w:br/>
      </w:r>
      <w:r>
        <w:rPr>
          <w:rFonts w:ascii="Times New Roman"/>
          <w:b w:val="false"/>
          <w:i w:val="false"/>
          <w:color w:val="000000"/>
          <w:sz w:val="28"/>
        </w:rPr>
        <w:t>
      3) участковая комиссия;</w:t>
      </w:r>
      <w:r>
        <w:br/>
      </w:r>
      <w:r>
        <w:rPr>
          <w:rFonts w:ascii="Times New Roman"/>
          <w:b w:val="false"/>
          <w:i w:val="false"/>
          <w:color w:val="000000"/>
          <w:sz w:val="28"/>
        </w:rPr>
        <w:t>
      4) ответственный специалист уполномоченного органа;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xml:space="preserve">
      6) ответственный специалист аппарата акима аульного (сельского) округа. </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49"/>
    <w:bookmarkStart w:name="z101" w:id="50"/>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50"/>
    <w:bookmarkStart w:name="z102" w:id="51"/>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аким аульного (сельского) округа, члены участковой комиссии, ответственный специалист уполномоченного органа, главный специалист уполномоченного органа, ответственный специалист аппарата акима аульного (сельского) округа, участвующие в оказании государственной услуги, члены участковой комиссии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51"/>
    <w:bookmarkStart w:name="z104" w:id="52"/>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2"/>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105" w:id="53"/>
    <w:p>
      <w:pPr>
        <w:spacing w:after="0"/>
        <w:ind w:left="0"/>
        <w:jc w:val="left"/>
      </w:pPr>
      <w:r>
        <w:rPr>
          <w:rFonts w:ascii="Times New Roman"/>
          <w:b/>
          <w:i w:val="false"/>
          <w:color w:val="000000"/>
        </w:rPr>
        <w:t xml:space="preserve"> 
Таблица 1. Описание действий СФЕ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534"/>
        <w:gridCol w:w="2416"/>
        <w:gridCol w:w="2256"/>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 или аким сельского округа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выдача потребителю талона и передача на рассмотрение руководителю уполномоченного органа или акиму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главному специалисту для дальнейшей организации работы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участковую комиссию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 или акиму сельского округа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266"/>
        <w:gridCol w:w="1888"/>
        <w:gridCol w:w="1831"/>
        <w:gridCol w:w="2163"/>
        <w:gridCol w:w="1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(хода,потока работ)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58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заключения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адресной социальной помощи потребителю или об отказе в назначении, оформление уведомления или мотивированного ответа об отказе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уведомления либо мотивированного ответа об отказе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выдача потребителю уведомления либо мотивированного ответа об отказе либо в течение 1 рабочего дня направление акиму сельского округа для выдачи потребителю</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оказания государственной услуги потребителю</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уполномоченный орган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руководителю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главному специалисту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исходящего номера, выдача результата потребителю либо в течение 1 рабочего дня направление акиму сельского округа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отказе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4"/>
    <w:p>
      <w:pPr>
        <w:spacing w:after="0"/>
        <w:ind w:left="0"/>
        <w:jc w:val="left"/>
      </w:pPr>
      <w:r>
        <w:rPr>
          <w:rFonts w:ascii="Times New Roman"/>
          <w:b/>
          <w:i w:val="false"/>
          <w:color w:val="000000"/>
        </w:rPr>
        <w:t xml:space="preserve"> 
Таблица 2. Варианты использования. Основной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321"/>
        <w:gridCol w:w="182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главному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xml:space="preserve">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уведомления и направление главному специалисту уполномоченного органа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решения о назначении государственной адресной социальной помощи и оформление уведомления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получателю государственной услуги</w:t>
            </w:r>
          </w:p>
        </w:tc>
      </w:tr>
    </w:tbl>
    <w:bookmarkStart w:name="z107" w:id="55"/>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771"/>
        <w:gridCol w:w="137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специалист уполномоченного органа или аким сельского округа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 обращения, направление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ответственному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и выдача мотивированного ответа об отказе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мотивированного ответа об отказе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потребителю</w:t>
            </w:r>
          </w:p>
        </w:tc>
      </w:tr>
    </w:tbl>
    <w:bookmarkStart w:name="z108" w:id="56"/>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6"/>
    <w:bookmarkStart w:name="z109" w:id="57"/>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57"/>
    <w:p>
      <w:pPr>
        <w:spacing w:after="0"/>
        <w:ind w:left="0"/>
        <w:jc w:val="both"/>
      </w:pPr>
      <w:r>
        <w:drawing>
          <wp:inline distT="0" distB="0" distL="0" distR="0">
            <wp:extent cx="7670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848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