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e285" w14:textId="c9ae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23 августа 2012 года N 238. Зарегистрировано Департаментом юстиции Северо-Казахстанской области 18 сентября 2012 года N 1872. Утратило силу постановлением акимата района Шал акын Северо-Казахстанской области от 24 мая 2013 года N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района Шал акын Северо-Казахстанской области от 24.05.2013 N 142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района Шал акына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электронных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Исключен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</w:t>
      </w:r>
      <w:r>
        <w:rPr>
          <w:rFonts w:ascii="Times New Roman"/>
          <w:b w:val="false"/>
          <w:i w:val="false"/>
          <w:color w:val="ff0000"/>
          <w:sz w:val="28"/>
        </w:rPr>
        <w:t xml:space="preserve">района Шал акына Северо-Казахстанской области от 27.11.2012 г. </w:t>
      </w:r>
      <w:r>
        <w:rPr>
          <w:rFonts w:ascii="Times New Roman"/>
          <w:b w:val="false"/>
          <w:i w:val="false"/>
          <w:color w:val="000000"/>
          <w:sz w:val="28"/>
        </w:rPr>
        <w:t>N 358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безработным гражданам»;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материального обеспечения детей-инвалидов, обучающихся и воспитывающихся на дому»;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>Исключен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района Шал акына Северо-Казахстанской области от 27.11.2012 г. </w:t>
      </w:r>
      <w:r>
        <w:rPr>
          <w:rFonts w:ascii="Times New Roman"/>
          <w:b w:val="false"/>
          <w:i w:val="false"/>
          <w:color w:val="000000"/>
          <w:sz w:val="28"/>
        </w:rPr>
        <w:t>N 358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  на руководителя аппарата акима района Шал акына Оспанова М.Д.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Аким района                                 К. Тнеев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238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государственной адресной социальной помощи»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  Сноска. Утратило силу постановлением акимата района Шал акына Северо-Казахстанской области от 27.11.2012 г. </w:t>
      </w:r>
      <w:r>
        <w:rPr>
          <w:rFonts w:ascii="Times New Roman"/>
          <w:b w:val="false"/>
          <w:i w:val="false"/>
          <w:color w:val="ff0000"/>
          <w:sz w:val="28"/>
        </w:rPr>
        <w:t>N 358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238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безработным гражданам»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отделом занятости и социальных программ района Шал акына (далее – МИО), на альтернативной основе через центр обслуживания населения (далее – ЦОН) по месту жительства и веб-портал «электронного правительства» (далее – ПЭП)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безработным гражданам» (далее – Стандарт),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регистрационный номер налогоплательщика - единый по всем видам налогов и других обязательных платежей в бюджет номер, который присваивается налогоплательщику при его государственной регистрации в качестве налогоплательщика и внесение сведений о нем в Государственный реестр налогоплательщиков Республики Казахстан (далее - 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потребитель - физическое лицо, осуществляющее официальное заявление в адрес уполномоченного органа на получение услуги либо направляющее электронную заявку посредством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 (далее -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автоматизированное рабочее место - обеспечивает реализацию внутренних бизнес-процессов оказания услуг МИО, предоставление информации о статусе оказания услуги для потребителей услуг и государственных органов уполномоченных за мониторинг государственных учреждений (далее - АРМ);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информационная система центров обслуживания населения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ЦОН -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информационная система Национального удостоверяющего центра Республики Казахстан - система, выдающая ключ электронной цифровой подписи (далее - ИС НУЦ);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СФЕ - структурно-функциональные единицы - это ответственные лица уполномоченных органов, структурные подразделения государственных органов, государственные органы, участвующие в процессе оказания электронной государственной услуги.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уполномоченного органа по оказанию электронной государственной услуги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1)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документов),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2)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документов),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 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 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3)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данных, прикрепление сканированных документов),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  на электронную государственную услугу, предоставляемые  потребителю в случае получения электронной государственной услуги 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орган/ЦОН.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call-центра ПЭП: (1414).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организаций,  с указанием срока выполнения каждого действия,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 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 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  поддерживаемые устройства доступа и оказания электронных государственных услуг (компьютер, Интернет, пункт общественного доступа, ЦОН, МИО).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12"/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посредством МИО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2946"/>
        <w:gridCol w:w="2696"/>
        <w:gridCol w:w="2470"/>
        <w:gridCol w:w="3422"/>
        <w:gridCol w:w="36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МИО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МИО в системе и заполнение формы запроса на оказания электронной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запроса из ИС МИО в ИС ЦОН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номера заявлению. Формирование уведомления с указанием текущего статуса.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организацион-но-распоряди-тельное решение)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2946"/>
        <w:gridCol w:w="2696"/>
        <w:gridCol w:w="2470"/>
        <w:gridCol w:w="3422"/>
        <w:gridCol w:w="36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запроса в ИС ЦОН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организацион-но-распоряди-тельное решение)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справки, либо мотивирован-ного отказа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в системе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2946"/>
        <w:gridCol w:w="2696"/>
        <w:gridCol w:w="2470"/>
        <w:gridCol w:w="3422"/>
        <w:gridCol w:w="36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  выходного документа.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уведомления о смене статуса оказания услуги в ИС ЦОН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организацион-но-распоряди-тельное решение)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МИО нарочно или посредством отправки на электронную почту потребителя результата электронной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документ. Отправка уведомления о смене статуса в ИС ЦОН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 и выдачи выходного документа.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ЦОН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203"/>
        <w:gridCol w:w="2723"/>
        <w:gridCol w:w="2495"/>
        <w:gridCol w:w="2419"/>
        <w:gridCol w:w="2572"/>
        <w:gridCol w:w="204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ЦОН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ЦОН в системе и заполнение формы запроса на оказания электронной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  запроса из ИС ЦОН в ИС МИО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принятия заявления в работу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  запроса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 заявления в статусе поступившие из ЦОН в ИС МИО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975"/>
        <w:gridCol w:w="2723"/>
        <w:gridCol w:w="2495"/>
        <w:gridCol w:w="2495"/>
        <w:gridCol w:w="2496"/>
        <w:gridCol w:w="204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  уведомления о смене статуса запроса в ИС ЦОН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справки, либо мотивированного отказа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в системе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рабочих дня (день приема и день выдачи документов не входят в срок оказания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975"/>
        <w:gridCol w:w="2723"/>
        <w:gridCol w:w="2495"/>
        <w:gridCol w:w="2495"/>
        <w:gridCol w:w="2496"/>
        <w:gridCol w:w="204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  выходного документа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уведомления о смене статуса оказания услуги в ИС ЦОН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уведомления о смене статуса в ИС ЦОН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завершении оказания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ЦОН нарочно или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отправки на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почту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в ИС ЦОН о завершении исполнения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результа-та оказания услуги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975"/>
        <w:gridCol w:w="2723"/>
        <w:gridCol w:w="2495"/>
        <w:gridCol w:w="2495"/>
        <w:gridCol w:w="2496"/>
        <w:gridCol w:w="204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в ИС МИО и уведомления в ИС ЦОН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поступившие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 с ПЭП в ИС ЦОН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 или формирование сообщения об отказе в 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электронной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975"/>
        <w:gridCol w:w="2723"/>
        <w:gridCol w:w="2495"/>
        <w:gridCol w:w="2495"/>
        <w:gridCol w:w="2496"/>
        <w:gridCol w:w="204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  уведомления о смене статуса «в работе» на ПЭП и ИС ЦОН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статуса «в работе»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Отображе-ние  уведомле-ния и статуса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организацион-но-распоряди-тельное решение)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справки, либо мотивирован-ного отказа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в системе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Маршрутиза-ция.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статуса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975"/>
        <w:gridCol w:w="2723"/>
        <w:gridCol w:w="2495"/>
        <w:gridCol w:w="2495"/>
        <w:gridCol w:w="2496"/>
        <w:gridCol w:w="204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  выходного документа.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уведомления о смене статуса оказания услуги на ПЭП и ИС ЦОН.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уведомления о смене статуса с выводом выходного документа на ПЭП и уведомления о смене статуса в ИС ЦОН.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завершении оказания услуги с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просмотра выходного документа.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Отображе-ние уведомле-ния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услуги.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ПЭП, и смены статуса в ИС ЦОН.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выходного документа.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 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104648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1. Диаграмма функционального взаимодействия при оказании частично автоматизированной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 МИО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103886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2. Диаграмма функционального взаимодействия при оказании частично автоматизированной электронной государственной услуги центром обслуживания населения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03886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3. Диаграмма функционального взаимодействия при оказании частично автоматизированной электронной государственной услуги порталом «электронного правительства»</w:t>
      </w:r>
    </w:p>
    <w:bookmarkEnd w:id="27"/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2169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бизнес-процессов.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30"/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34"/>
    <w:bookmarkStart w:name="z6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 государственную услугу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54991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bookmarkEnd w:id="37"/>
    <w:bookmarkStart w:name="z7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(Выдача справок безработным гражданам) на электронную государственную услугу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56134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Уведомления, предоставляемые потребителю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поставляются по мере изменения статуса исполнения заявления. Произвольная строка с текстом уведомления отражается в разделе «Уведомления» в личном кабинете на портале «электронного правительства», а также передается в систему ИИС ЦОН.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Выходная форма отрицательного ответа (отказ) на электронную государственную услугу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Выходная форма отрицательного ответа предоставляется в произвольной форме в виде письма с текстом обоснования отказа.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55753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238</w:t>
      </w:r>
    </w:p>
    <w:bookmarkEnd w:id="44"/>
    <w:bookmarkStart w:name="z7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для материального обеспечения детей-инвалидов, обучающихся и воспитывающихся на дому»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отделом занятости и социальных программ района Шал акына (далее – уполномоченный орган), а также через портал «электронного правительства» (далее - Услугодатель)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материального обеспечения детей-инвалидов, обучающихся и воспитывающихся на дому» (далее – Стандарт),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регистрационный номер налогоплательщика - единый по всем видам налогов и других обязательных платежей в бюджет номер, который присваивается налогоплательщику при его государственной регистрации в качестве налогоплательщика и внесение сведений о нем в Государственный реестр налогоплательщиков Республики Казахстан (далее - 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 (далее -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автоматизированное рабочее место - обеспечивает реализацию внутренних бизнес-процессов оказания услуг МИО, предоставление информации о статусе оказания услуги для потребителей услуг и государственных органов уполномоченных за мониторинг государственных учреждений (далее - АРМ);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информационная система Национального удостоверяющего центра Республики Казахстан (далее - ИС НУЦ) - система, выдающая ключ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СФЕ - структурно-функциональные единицы - это ответственные лица уполномоченных органов, структурные подразделения государственных органов, государственные органы, участвующие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органа.</w:t>
      </w:r>
    </w:p>
    <w:bookmarkEnd w:id="46"/>
    <w:bookmarkStart w:name="z8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уполномоченного органа по оказанию электронной государственной услуги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1)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документов),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 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  услуги). Электронный документ формируется с использованием ЭЦП сотрудника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 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2)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данных, прикрепление сканированных   документов),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 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call-центра ПЭП: (1414).</w:t>
      </w:r>
    </w:p>
    <w:bookmarkEnd w:id="48"/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структурно-функциональные единицы (далее - СФЕ): сотрудник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  с указанием срока выполнения каждого действия 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  поддерживаемые устройства доступа и оказания электронных государственных услуг (компьютер, Интернет, пункт общественного доступа, уполномоченный орган).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51"/>
    <w:bookmarkStart w:name="z8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посредством МИО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490"/>
        <w:gridCol w:w="3909"/>
        <w:gridCol w:w="3910"/>
        <w:gridCol w:w="4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МИО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МИО в системе и заполнение формы запроса на оказания электронной государственной услуги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запросов в ИС ЦГО для получения данных о потребителе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2759"/>
        <w:gridCol w:w="4096"/>
        <w:gridCol w:w="4096"/>
        <w:gridCol w:w="4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назначении государственной адресной социальной помощи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уведомления об оформлении документов для материального обеспечения детей-инвалидов, обучающихся и воспитывающихся на дому, либо мотивированного отказа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2759"/>
        <w:gridCol w:w="4096"/>
        <w:gridCol w:w="4096"/>
        <w:gridCol w:w="4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доставка сотрудником МИО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 в случае отправки на электронную почту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ПЭП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785"/>
        <w:gridCol w:w="2998"/>
        <w:gridCol w:w="3684"/>
        <w:gridCol w:w="2998"/>
        <w:gridCol w:w="28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  для получения электронной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запроса в ИС МИО (в случае корректности введенных данных)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(в случае корректности введенных данных)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 или формирование сообщения об отказе в запрашиваемой электронной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услуге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785"/>
        <w:gridCol w:w="2998"/>
        <w:gridCol w:w="3684"/>
        <w:gridCol w:w="2998"/>
        <w:gridCol w:w="28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оформлении документов для материального обеспечения детей-инвали-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дов,обучающих-ся и воспи-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тывающихся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«в работе» на ПЭП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статуса «в работе»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уведомления,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10 рабочих дней.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785"/>
        <w:gridCol w:w="2998"/>
        <w:gridCol w:w="3684"/>
        <w:gridCol w:w="2998"/>
        <w:gridCol w:w="28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  выходного документа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на ПЭП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с выводом выходного документа на ПЭП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 воспитывающихся на дому»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104648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1. Диаграмма функционального взаимодействия при оказании «частично автоматизированной» электронной государственной услуги уполномоченным органом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103886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2. Диаграмма функционального взаимодействия при оказании «частично автоматизированной» электронной государственной услуги посредством портала «электронного правительства»</w:t>
      </w:r>
    </w:p>
    <w:bookmarkEnd w:id="61"/>
    <w:bookmarkStart w:name="z9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82169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бизнес-процессов.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63"/>
    <w:bookmarkStart w:name="z9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67"/>
    <w:bookmarkStart w:name="z10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 государственную услугу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9629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Электронная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копия книги регистрации граждан, либо справки адресного бюро, либо справки Акима сельского округа (сведения о прописке);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Электронная копия заключения психолого-педагогической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Электронная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Электронная копия документа о наличии счета в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7343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9"/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bookmarkEnd w:id="70"/>
    <w:bookmarkStart w:name="z10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(документов для материального обеспечения детей-инвалидов, обучающихся и воспитывающихся на дому) на электронную государственную услугу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56388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Уведомления, предоставляемые потребителю</w:t>
      </w:r>
    </w:p>
    <w:bookmarkEnd w:id="72"/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  отражается в разделе «Уведомления» в личном кабинете на портале «электронного правительства».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Выходная форма отрицательного ответа (отказ) на электронную государственную услугу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Выходная форма отрицательного ответа предоставляется в произвольной форме в виде письма с текстом обоснования  отказа при формировании заключения комиссии.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2012 года № 238</w:t>
      </w:r>
    </w:p>
    <w:bookmarkEnd w:id="76"/>
    <w:bookmarkStart w:name="z11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детей дошкольного возраста (до 7 лет) для направления в детские дошкольные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 Сноска. Утратило силу постановлением акимата района Шал акына Северо-Казахстанской области от 27.11.2012 г. </w:t>
      </w:r>
      <w:r>
        <w:rPr>
          <w:rFonts w:ascii="Times New Roman"/>
          <w:b w:val="false"/>
          <w:i w:val="false"/>
          <w:color w:val="ff0000"/>
          <w:sz w:val="28"/>
        </w:rPr>
        <w:t>N 358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