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bbb4" w14:textId="207b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правил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Индерского района Атырауской области от 2 августа 2012 года № 45-V. Зарегистрировано Департаментом юстиции Атырауской области 31 августа 2012 года № 4-6-136. Утратило силу - Решением Индерского районного маслихата Атырауской области от 21 декабря 2012 года № 72-V.</w:t>
      </w:r>
    </w:p>
    <w:p>
      <w:pPr>
        <w:spacing w:after="0"/>
        <w:ind w:left="0"/>
        <w:jc w:val="both"/>
      </w:pPr>
      <w:bookmarkStart w:name="z18" w:id="0"/>
      <w:r>
        <w:rPr>
          <w:rFonts w:ascii="Times New Roman"/>
          <w:b w:val="false"/>
          <w:i w:val="false"/>
          <w:color w:val="000000"/>
          <w:sz w:val="28"/>
        </w:rPr>
        <w:t>
</w:t>
      </w:r>
      <w:r>
        <w:rPr>
          <w:rFonts w:ascii="Times New Roman"/>
          <w:b w:val="false"/>
          <w:i w:val="false"/>
          <w:color w:val="ff0000"/>
          <w:sz w:val="28"/>
        </w:rPr>
        <w:t>      Сноска. Утратило силу - Решением Индерского районного маслихата Атырауской области от 21.12.2012 № 72-V.</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постановлением Правительства Республики Казахстан от 14 апреля 2009 года № </w:t>
      </w:r>
      <w:r>
        <w:rPr>
          <w:rFonts w:ascii="Times New Roman"/>
          <w:b w:val="false"/>
          <w:i w:val="false"/>
          <w:color w:val="000000"/>
          <w:sz w:val="28"/>
        </w:rPr>
        <w:t>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подпунктом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районный маслихат на внеочередной VI сессии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правила оказания жилищной помощи малообеспеченным семьям (гражданам), согласно приложению.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Индерского районного маслихата от 14 апреля 2010 года № 217-IV "О правилах оказания жилищной помощи по оплате коммунальных услуг малообеспеченным слоям населения" (зарегистрировано в реестре государственной регистрации нормативных правовых актов за № 4-6-100, опубликованное в районной газете "Дендер" от 3 июня 2010 года за № 23).</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и экологии.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внеочередной VI</w:t>
      </w:r>
      <w:r>
        <w:br/>
      </w:r>
      <w:r>
        <w:rPr>
          <w:rFonts w:ascii="Times New Roman"/>
          <w:b w:val="false"/>
          <w:i w:val="false"/>
          <w:color w:val="000000"/>
          <w:sz w:val="28"/>
        </w:rPr>
        <w:t>
</w:t>
      </w:r>
      <w:r>
        <w:rPr>
          <w:rFonts w:ascii="Times New Roman"/>
          <w:b w:val="false"/>
          <w:i/>
          <w:color w:val="000000"/>
          <w:sz w:val="28"/>
        </w:rPr>
        <w:t>      сессии районного маслихата                 А. Умиткалиев</w:t>
      </w:r>
    </w:p>
    <w:p>
      <w:pPr>
        <w:spacing w:after="0"/>
        <w:ind w:left="0"/>
        <w:jc w:val="both"/>
      </w:pPr>
      <w:r>
        <w:rPr>
          <w:rFonts w:ascii="Times New Roman"/>
          <w:b w:val="false"/>
          <w:i/>
          <w:color w:val="000000"/>
          <w:sz w:val="28"/>
        </w:rPr>
        <w:t>      Секретарь районного маслихата              Б. Сапаров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районного маслихата </w:t>
      </w:r>
      <w:r>
        <w:br/>
      </w:r>
      <w:r>
        <w:rPr>
          <w:rFonts w:ascii="Times New Roman"/>
          <w:b w:val="false"/>
          <w:i w:val="false"/>
          <w:color w:val="000000"/>
          <w:sz w:val="28"/>
        </w:rPr>
        <w:t xml:space="preserve">
от 2 августа 2012 года № 45-V </w:t>
      </w:r>
      <w:r>
        <w:br/>
      </w:r>
      <w:r>
        <w:rPr>
          <w:rFonts w:ascii="Times New Roman"/>
          <w:b w:val="false"/>
          <w:i w:val="false"/>
          <w:color w:val="000000"/>
          <w:sz w:val="28"/>
        </w:rPr>
        <w:t>
"Об установлении размера и правил</w:t>
      </w:r>
      <w:r>
        <w:br/>
      </w:r>
      <w:r>
        <w:rPr>
          <w:rFonts w:ascii="Times New Roman"/>
          <w:b w:val="false"/>
          <w:i w:val="false"/>
          <w:color w:val="000000"/>
          <w:sz w:val="28"/>
        </w:rPr>
        <w:t xml:space="preserve">
оказания жилищной помощи    </w:t>
      </w:r>
      <w:r>
        <w:br/>
      </w:r>
      <w:r>
        <w:rPr>
          <w:rFonts w:ascii="Times New Roman"/>
          <w:b w:val="false"/>
          <w:i w:val="false"/>
          <w:color w:val="000000"/>
          <w:sz w:val="28"/>
        </w:rPr>
        <w:t>
малообеспеченным семьям (гражданам)</w:t>
      </w:r>
    </w:p>
    <w:bookmarkEnd w:id="1"/>
    <w:p>
      <w:pPr>
        <w:spacing w:after="0"/>
        <w:ind w:left="0"/>
        <w:jc w:val="left"/>
      </w:pPr>
      <w:r>
        <w:rPr>
          <w:rFonts w:ascii="Times New Roman"/>
          <w:b/>
          <w:i w:val="false"/>
          <w:color w:val="000000"/>
        </w:rPr>
        <w:t xml:space="preserve"> Размер и правила оказания жилищной помощи малообеспеченным семьям (гражданам)</w:t>
      </w:r>
      <w:r>
        <w:br/>
      </w:r>
      <w:r>
        <w:rPr>
          <w:rFonts w:ascii="Times New Roman"/>
          <w:b/>
          <w:i w:val="false"/>
          <w:color w:val="000000"/>
        </w:rPr>
        <w:t>
1. Общие положения</w:t>
      </w:r>
    </w:p>
    <w:bookmarkStart w:name="z7" w:id="2"/>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Индерского района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Доля предельно–допустимых расходов является отношение предельно – допустимого уровня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органам в частном жилищном фонде, к совокупному доходу семьи (гражданина) в 5 процентах.</w:t>
      </w:r>
      <w:r>
        <w:br/>
      </w:r>
      <w:r>
        <w:rPr>
          <w:rFonts w:ascii="Times New Roman"/>
          <w:b w:val="false"/>
          <w:i w:val="false"/>
          <w:color w:val="000000"/>
          <w:sz w:val="28"/>
        </w:rPr>
        <w:t>
</w:t>
      </w:r>
      <w:r>
        <w:rPr>
          <w:rFonts w:ascii="Times New Roman"/>
          <w:b w:val="false"/>
          <w:i w:val="false"/>
          <w:color w:val="000000"/>
          <w:sz w:val="28"/>
        </w:rPr>
        <w:t>
      2. Уполномоченным органом по назначению и выплате жилищной помощи определено государственное учреждение "Отдел занятости и социальных программ Индерского района".</w:t>
      </w:r>
      <w:r>
        <w:br/>
      </w:r>
      <w:r>
        <w:rPr>
          <w:rFonts w:ascii="Times New Roman"/>
          <w:b w:val="false"/>
          <w:i w:val="false"/>
          <w:color w:val="000000"/>
          <w:sz w:val="28"/>
        </w:rPr>
        <w:t>
</w:t>
      </w:r>
      <w:r>
        <w:rPr>
          <w:rFonts w:ascii="Times New Roman"/>
          <w:b w:val="false"/>
          <w:i w:val="false"/>
          <w:color w:val="000000"/>
          <w:sz w:val="28"/>
        </w:rPr>
        <w:t>
      3. Лица, имеющие в частной собственности более одной единицы жилья (квартиры, дома) или сдающие жилые помещения или транспортные средства в наем (аренду), утрачивают право на получение жилищной помощи.</w:t>
      </w:r>
    </w:p>
    <w:bookmarkEnd w:id="2"/>
    <w:bookmarkStart w:name="z10" w:id="3"/>
    <w:p>
      <w:pPr>
        <w:spacing w:after="0"/>
        <w:ind w:left="0"/>
        <w:jc w:val="both"/>
      </w:pPr>
      <w:r>
        <w:rPr>
          <w:rFonts w:ascii="Times New Roman"/>
          <w:b w:val="false"/>
          <w:i w:val="false"/>
          <w:color w:val="000000"/>
          <w:sz w:val="28"/>
        </w:rPr>
        <w:t>
      4. Площадь жилья, обспечиваемая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Жилищная помощь не назначается семьям безработным, не зарегистрированных в службе занятости в качестве безработных, отказавшихся без уважительных причин от предложенной работы, в том числе на социальные рабочие места и общественные работы, от профобучения и переобучения, повышения квалификации, за исключением инвалидов всех групп и граждан находящихся на стационарном лечении более одного месяца, учащихся, студентом, слушателей, курсантов и магистрантов учебных заведений дневной формы, а также лиц, осуществляющих уход за инвалидами первой и второй группы, детьми – инвалидов до 18 лет, лицами старше восьмидесяти лет и детей до 7 лет.</w:t>
      </w:r>
      <w:r>
        <w:br/>
      </w:r>
      <w:r>
        <w:rPr>
          <w:rFonts w:ascii="Times New Roman"/>
          <w:b w:val="false"/>
          <w:i w:val="false"/>
          <w:color w:val="000000"/>
          <w:sz w:val="28"/>
        </w:rPr>
        <w:t>
      Жилищная помощь восстанавливается семье безработного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p>
    <w:bookmarkEnd w:id="3"/>
    <w:p>
      <w:pPr>
        <w:spacing w:after="0"/>
        <w:ind w:left="0"/>
        <w:jc w:val="left"/>
      </w:pPr>
      <w:r>
        <w:rPr>
          <w:rFonts w:ascii="Times New Roman"/>
          <w:b/>
          <w:i w:val="false"/>
          <w:color w:val="000000"/>
        </w:rPr>
        <w:t xml:space="preserve"> 2. Порядок оказания жилищной помощи</w:t>
      </w:r>
    </w:p>
    <w:bookmarkStart w:name="z11" w:id="4"/>
    <w:p>
      <w:pPr>
        <w:spacing w:after="0"/>
        <w:ind w:left="0"/>
        <w:jc w:val="both"/>
      </w:pPr>
      <w:r>
        <w:rPr>
          <w:rFonts w:ascii="Times New Roman"/>
          <w:b w:val="false"/>
          <w:i w:val="false"/>
          <w:color w:val="000000"/>
          <w:sz w:val="28"/>
        </w:rPr>
        <w:t>
      5. Для назначения жилищной помощи семья (гражданин) (далее – заявитель) обращается в уполномоченный орган, осуществляющий назначение жилищной помощи (далее – уполномоченный орган)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потребителя;</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5) документы, подтверждающие доходы семьи;</w:t>
      </w:r>
      <w:r>
        <w:br/>
      </w:r>
      <w:r>
        <w:rPr>
          <w:rFonts w:ascii="Times New Roman"/>
          <w:b w:val="false"/>
          <w:i w:val="false"/>
          <w:color w:val="000000"/>
          <w:sz w:val="28"/>
        </w:rPr>
        <w:t>
      6) счета о размере целового взноса на капитальный ремонт общего имущества объекта кондоминиума;</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кондоминума;</w:t>
      </w:r>
      <w:r>
        <w:br/>
      </w:r>
      <w:r>
        <w:rPr>
          <w:rFonts w:ascii="Times New Roman"/>
          <w:b w:val="false"/>
          <w:i w:val="false"/>
          <w:color w:val="000000"/>
          <w:sz w:val="28"/>
        </w:rPr>
        <w:t>
      8) счета на потребление коммунальных услуг;</w:t>
      </w:r>
      <w:r>
        <w:br/>
      </w:r>
      <w:r>
        <w:rPr>
          <w:rFonts w:ascii="Times New Roman"/>
          <w:b w:val="false"/>
          <w:i w:val="false"/>
          <w:color w:val="000000"/>
          <w:sz w:val="28"/>
        </w:rPr>
        <w:t>
      9) квитанцию-счет за услуги телекоммуникаций или копию договора на оказание услуг связи;</w:t>
      </w:r>
      <w:r>
        <w:br/>
      </w:r>
      <w:r>
        <w:rPr>
          <w:rFonts w:ascii="Times New Roman"/>
          <w:b w:val="false"/>
          <w:i w:val="false"/>
          <w:color w:val="000000"/>
          <w:sz w:val="28"/>
        </w:rPr>
        <w:t>
      10)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6.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 о чем письменно извещает заявителя.</w:t>
      </w:r>
      <w:r>
        <w:br/>
      </w:r>
      <w:r>
        <w:rPr>
          <w:rFonts w:ascii="Times New Roman"/>
          <w:b w:val="false"/>
          <w:i w:val="false"/>
          <w:color w:val="000000"/>
          <w:sz w:val="28"/>
        </w:rPr>
        <w:t>
</w:t>
      </w:r>
      <w:r>
        <w:rPr>
          <w:rFonts w:ascii="Times New Roman"/>
          <w:b w:val="false"/>
          <w:i w:val="false"/>
          <w:color w:val="000000"/>
          <w:sz w:val="28"/>
        </w:rPr>
        <w:t>
      7. При назначении жилищного пособия учитывать следующие нормы на одну семью в месяц:</w:t>
      </w:r>
      <w:r>
        <w:br/>
      </w:r>
      <w:r>
        <w:rPr>
          <w:rFonts w:ascii="Times New Roman"/>
          <w:b w:val="false"/>
          <w:i w:val="false"/>
          <w:color w:val="000000"/>
          <w:sz w:val="28"/>
        </w:rPr>
        <w:t>
      1) потребление электроэнергии:</w:t>
      </w:r>
      <w:r>
        <w:br/>
      </w:r>
      <w:r>
        <w:rPr>
          <w:rFonts w:ascii="Times New Roman"/>
          <w:b w:val="false"/>
          <w:i w:val="false"/>
          <w:color w:val="000000"/>
          <w:sz w:val="28"/>
        </w:rPr>
        <w:t>
      на 1 человека – 90 кВт/час;</w:t>
      </w:r>
      <w:r>
        <w:br/>
      </w:r>
      <w:r>
        <w:rPr>
          <w:rFonts w:ascii="Times New Roman"/>
          <w:b w:val="false"/>
          <w:i w:val="false"/>
          <w:color w:val="000000"/>
          <w:sz w:val="28"/>
        </w:rPr>
        <w:t>
      от 2-х до 5 человек – 350 кВт/час;</w:t>
      </w:r>
      <w:r>
        <w:br/>
      </w:r>
      <w:r>
        <w:rPr>
          <w:rFonts w:ascii="Times New Roman"/>
          <w:b w:val="false"/>
          <w:i w:val="false"/>
          <w:color w:val="000000"/>
          <w:sz w:val="28"/>
        </w:rPr>
        <w:t>
      5 и более человек – 600 кВт/час.</w:t>
      </w:r>
      <w:r>
        <w:br/>
      </w:r>
      <w:r>
        <w:rPr>
          <w:rFonts w:ascii="Times New Roman"/>
          <w:b w:val="false"/>
          <w:i w:val="false"/>
          <w:color w:val="000000"/>
          <w:sz w:val="28"/>
        </w:rPr>
        <w:t>
</w:t>
      </w:r>
      <w:r>
        <w:rPr>
          <w:rFonts w:ascii="Times New Roman"/>
          <w:b w:val="false"/>
          <w:i w:val="false"/>
          <w:color w:val="000000"/>
          <w:sz w:val="28"/>
        </w:rPr>
        <w:t>
      8. Тарифы и нормы потребления коммунальных услуг предоставляют поставщики услуг.</w:t>
      </w:r>
    </w:p>
    <w:bookmarkEnd w:id="4"/>
    <w:p>
      <w:pPr>
        <w:spacing w:after="0"/>
        <w:ind w:left="0"/>
        <w:jc w:val="left"/>
      </w:pPr>
      <w:r>
        <w:rPr>
          <w:rFonts w:ascii="Times New Roman"/>
          <w:b/>
          <w:i w:val="false"/>
          <w:color w:val="000000"/>
        </w:rPr>
        <w:t xml:space="preserve"> 3. Исчисления совокупного дохода семьи (гражданина), претендующего на получение жилищной помощи</w:t>
      </w:r>
    </w:p>
    <w:bookmarkStart w:name="z15" w:id="5"/>
    <w:p>
      <w:pPr>
        <w:spacing w:after="0"/>
        <w:ind w:left="0"/>
        <w:jc w:val="both"/>
      </w:pPr>
      <w:r>
        <w:rPr>
          <w:rFonts w:ascii="Times New Roman"/>
          <w:b w:val="false"/>
          <w:i w:val="false"/>
          <w:color w:val="000000"/>
          <w:sz w:val="28"/>
        </w:rPr>
        <w:t>
      9. Совокупный дохода семьи (гражданина), претендующей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5"/>
    <w:p>
      <w:pPr>
        <w:spacing w:after="0"/>
        <w:ind w:left="0"/>
        <w:jc w:val="left"/>
      </w:pPr>
      <w:r>
        <w:rPr>
          <w:rFonts w:ascii="Times New Roman"/>
          <w:b/>
          <w:i w:val="false"/>
          <w:color w:val="000000"/>
        </w:rPr>
        <w:t xml:space="preserve"> 4. Финансирование и выплата</w:t>
      </w:r>
    </w:p>
    <w:bookmarkStart w:name="z16" w:id="6"/>
    <w:p>
      <w:pPr>
        <w:spacing w:after="0"/>
        <w:ind w:left="0"/>
        <w:jc w:val="both"/>
      </w:pPr>
      <w:r>
        <w:rPr>
          <w:rFonts w:ascii="Times New Roman"/>
          <w:b w:val="false"/>
          <w:i w:val="false"/>
          <w:color w:val="000000"/>
          <w:sz w:val="28"/>
        </w:rPr>
        <w:t>
      10. Финансирование выплат жилищной помощи осуществляется в пределах средств, предусмотренных в бюджете района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11. Выплата жилищной помощи осуществляется через отделения банков второго уровня путем перечисления начисленных сумм на лицевые счета получателей.</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