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0dcf" w14:textId="e8e0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туристской информации, в том числе о туристском потенциале, объектах туризма и лицах, 
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декабря 2012 года № 389. Зарегистрировано Департаментом юстиции Южно-Казахстанской области 29 декабря 2012 года № 2191.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2012 года № 389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«Представление туристской информации, в том числе о туристском потенциале, объектах туризма и лицах, осуществляющих туристскую деятельность»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государственное учреждение «Управление туризма, физической культуры и спорта Южно-Казахстанской области» (далее-Управление).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«О туристской деятельности в Республике Казахстан» и постановления Правительства Республики Казахстан от 29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1099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туризма»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и график можно получить в Управлении, адрес который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Оснований для приостановления или отказа в предоставлении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Управление через канцелярию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Управления осуществляет прием и регистрацию документов. Для заявителя снимается копия, на которой проставляется отметка о принятии (штамп и входящий номер, дата);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Управления передает принятых документов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рассмотрев документы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осуществляет рассмотрение представленного заявления,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подписывает уведомление и направляет в канцелярию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Управления регистрирует уведомление и выдает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документов для оказания государственной услуги осуществляются одним специалистом уполномоченного органа.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Получателю снимается копия заявления, на которой проставляется отметка о принятии (штамп и входящий номер, дата).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документы,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ходе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      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туристскую деятельность»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2245"/>
        <w:gridCol w:w="2661"/>
        <w:gridCol w:w="2530"/>
        <w:gridCol w:w="2553"/>
        <w:gridCol w:w="22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15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</w:tr>
      <w:tr>
        <w:trPr>
          <w:trHeight w:val="180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документы. Для заявителя снимает копию, на которой проставляется отметка о принятии (штамп и входящий номер, дата).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документа 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ответственному исполнителю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начальнику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получателю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     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2"/>
        <w:gridCol w:w="3135"/>
        <w:gridCol w:w="2527"/>
        <w:gridCol w:w="2842"/>
        <w:gridCol w:w="26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</w:tr>
      <w:tr>
        <w:trPr>
          <w:trHeight w:val="219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и регистрирует документы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исполнителя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уведомления.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корреспонденцией.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документа. </w:t>
            </w:r>
          </w:p>
        </w:tc>
      </w:tr>
      <w:tr>
        <w:trPr>
          <w:trHeight w:val="219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Управления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ответственному исполнителю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начальнику уполномоченного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получателю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туристскую деятельность»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Процесс «Представление туристской информации, в том числе о туристском потенциале, объектах туризма и лицах, осуществляющих туристскую деятельность»</w:t>
      </w:r>
      <w:r>
        <w:drawing>
          <wp:inline distT="0" distB="0" distL="0" distR="0">
            <wp:extent cx="96901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