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ad33" w14:textId="ecfa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от 23 июля 2010 года № 26/4 "Об утверждении Правил определения размера и порядка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Усть-Каменогорского городского маслихата Восточно-Казахстанской области от 22 ноября 2012 года N 11/4-V. Зарегистрировано Департаментом юстиции Восточно-Казахстанской области 14 декабря 2012 года N 2778. Утратило силу - решением Усть-Каменогорского городского маслихата Восточно-Казахстанской области от 23 декабря 2014 года N 34/5-V</w:t>
      </w:r>
    </w:p>
    <w:p>
      <w:pPr>
        <w:spacing w:after="0"/>
        <w:ind w:left="0"/>
        <w:jc w:val="both"/>
      </w:pPr>
      <w:bookmarkStart w:name="z1" w:id="0"/>
      <w:r>
        <w:rPr>
          <w:rFonts w:ascii="Times New Roman"/>
          <w:b w:val="false"/>
          <w:i w:val="false"/>
          <w:color w:val="ff0000"/>
          <w:sz w:val="28"/>
        </w:rPr>
        <w:t xml:space="preserve">      Сноска. Утратило силу - </w:t>
      </w:r>
      <w:r>
        <w:rPr>
          <w:rFonts w:ascii="Times New Roman"/>
          <w:b w:val="false"/>
          <w:i w:val="false"/>
          <w:color w:val="000000"/>
          <w:sz w:val="28"/>
        </w:rPr>
        <w:t>решением</w:t>
      </w:r>
      <w:r>
        <w:rPr>
          <w:rFonts w:ascii="Times New Roman"/>
          <w:b w:val="false"/>
          <w:i w:val="false"/>
          <w:color w:val="ff0000"/>
          <w:sz w:val="28"/>
        </w:rPr>
        <w:t xml:space="preserve"> Усть-Каменогорского городского маслихата Восточно-Казахстанской области от 23.12.2014 N 34/5-V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сохранена авторская орфография и пунктуация.</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"О жилищных отношениях",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октября 2012 года № 1316 "О внесении изменения и дополнения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Усть-Каменогорский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определения размера и порядка оказания жилищной помощи" от 23 июля 2010 года № 26/4 (зарегистрировано в Реестре государственной регистрации нормативных правовых актов за номером 5-1-149, опубликовано 16 августа 2010 года в газете "Дидар" № 101, 14 августа 2010 года в газете "Рудный Алтай" № 100) следующие изменения и дополнение:</w:t>
      </w:r>
      <w:r>
        <w:br/>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определения размера и порядка оказания жилищной помощи, утвержденных указанным решением: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w:t>
      </w:r>
      <w:r>
        <w:rPr>
          <w:rFonts w:ascii="Times New Roman"/>
          <w:b w:val="false"/>
          <w:i w:val="false"/>
          <w:color w:val="000000"/>
          <w:sz w:val="28"/>
        </w:rPr>
        <w:t xml:space="preserve">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Жилищная помощь предоставляется за счет средств местного бюджета </w:t>
      </w:r>
      <w:r>
        <w:rPr>
          <w:rFonts w:ascii="Times New Roman"/>
          <w:b w:val="false"/>
          <w:i w:val="false"/>
          <w:color w:val="000000"/>
          <w:sz w:val="28"/>
        </w:rPr>
        <w:t>малообеспеченным семьям</w:t>
      </w:r>
      <w:r>
        <w:rPr>
          <w:rFonts w:ascii="Times New Roman"/>
          <w:b w:val="false"/>
          <w:i w:val="false"/>
          <w:color w:val="000000"/>
          <w:sz w:val="28"/>
        </w:rPr>
        <w:t xml:space="preserve"> (гражданам), постоянно проживающим в данной местности на оплату:</w:t>
      </w:r>
      <w:r>
        <w:br/>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являющимся нанимателями (поднанимателями) жилых помещений (квартир)в государственном жилищном фонде;</w:t>
      </w:r>
      <w:r>
        <w:br/>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4)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w:t>
      </w:r>
      <w:r>
        <w:rPr>
          <w:rFonts w:ascii="Times New Roman"/>
          <w:b w:val="false"/>
          <w:i w:val="false"/>
          <w:color w:val="000000"/>
          <w:sz w:val="28"/>
        </w:rPr>
        <w:t xml:space="preserve">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"3. Жилищная помощь оказывается по предъявленным поставщиками </w:t>
      </w:r>
      <w:r>
        <w:br/>
      </w:r>
      <w:r>
        <w:rPr>
          <w:rFonts w:ascii="Times New Roman"/>
          <w:b w:val="false"/>
          <w:i w:val="false"/>
          <w:color w:val="000000"/>
          <w:sz w:val="28"/>
        </w:rPr>
        <w:t>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за счет бюджетных средств лицам, постоянно проживающим в данной местности.</w:t>
      </w:r>
      <w:r>
        <w:br/>
      </w:r>
      <w:r>
        <w:rPr>
          <w:rFonts w:ascii="Times New Roman"/>
          <w:b w:val="false"/>
          <w:i w:val="false"/>
          <w:color w:val="000000"/>
          <w:sz w:val="28"/>
        </w:rPr>
        <w:t>
      Поставщики коммунальных услуг представляют в уполномоченный орган тарифы на коммунальные услуги, их изменения, согласованные с уполномоченным органом по регулированию естественных монополий и защите конкуренции. При расчете жилищной помощи учитываются потери тепла, предъявляемые услугодателями, в пределах социальных норм площади жилья.";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w:t>
      </w:r>
      <w:r>
        <w:rPr>
          <w:rFonts w:ascii="Times New Roman"/>
          <w:b w:val="false"/>
          <w:i w:val="false"/>
          <w:color w:val="000000"/>
          <w:sz w:val="28"/>
        </w:rPr>
        <w:t xml:space="preserve"> 4</w:t>
      </w:r>
      <w:r>
        <w:rPr>
          <w:rFonts w:ascii="Times New Roman"/>
          <w:b w:val="false"/>
          <w:i w:val="false"/>
          <w:color w:val="000000"/>
          <w:sz w:val="28"/>
        </w:rPr>
        <w:t xml:space="preserve"> дополнить подпунктом 9) следующего содержания:</w:t>
      </w:r>
      <w:r>
        <w:br/>
      </w:r>
      <w:r>
        <w:rPr>
          <w:rFonts w:ascii="Times New Roman"/>
          <w:b w:val="false"/>
          <w:i w:val="false"/>
          <w:color w:val="000000"/>
          <w:sz w:val="28"/>
        </w:rPr>
        <w:t>
      "9) квитанцию –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w:t>
      </w:r>
      <w:r>
        <w:rPr>
          <w:rFonts w:ascii="Times New Roman"/>
          <w:b w:val="false"/>
          <w:i w:val="false"/>
          <w:color w:val="000000"/>
          <w:sz w:val="28"/>
        </w:rPr>
        <w:t xml:space="preserve">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Получатели жилищной помощи ежеквартально представляют заявление с приложением документов, перечисленных в подпунктах 4) – 9) </w:t>
      </w:r>
      <w:r>
        <w:rPr>
          <w:rFonts w:ascii="Times New Roman"/>
          <w:b w:val="false"/>
          <w:i w:val="false"/>
          <w:color w:val="000000"/>
          <w:sz w:val="28"/>
        </w:rPr>
        <w:t>пункта 4</w:t>
      </w:r>
      <w:r>
        <w:rPr>
          <w:rFonts w:ascii="Times New Roman"/>
          <w:b w:val="false"/>
          <w:i w:val="false"/>
          <w:color w:val="000000"/>
          <w:sz w:val="28"/>
        </w:rPr>
        <w:t>, за квартал, предшествующий кварталу обращения.";</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"Семьям, проживающим в индивидуальных жилых домах с местным отоплением, жилищная помощь назначается один раз в год за квартал независимо от месяца обращения.";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w:t>
      </w:r>
      <w:r>
        <w:rPr>
          <w:rFonts w:ascii="Times New Roman"/>
          <w:b w:val="false"/>
          <w:i w:val="false"/>
          <w:color w:val="000000"/>
          <w:sz w:val="28"/>
        </w:rPr>
        <w:t xml:space="preserve">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 Расходы на содержание жилого дома (жилого здания), электроснабжение, газоснабжение, обслуживание лифтов учитываются средние за квартал, предшествующий кварталу обращения. Расходы за водоснабжение, водоотведение, теплоэнергию, вывоз твердых бытовых отходов, услуги телекоммуникаций учитываются по тарифам услугодателей.</w:t>
      </w:r>
      <w:r>
        <w:br/>
      </w:r>
      <w:r>
        <w:rPr>
          <w:rFonts w:ascii="Times New Roman"/>
          <w:b w:val="false"/>
          <w:i w:val="false"/>
          <w:color w:val="000000"/>
          <w:sz w:val="28"/>
        </w:rPr>
        <w:t>
      Расходы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учитываются по фактическим затратам за квартал, предшествующий кварталу обращения. Для индивидуального жилого дома с местным отоплением расходы на оплату стоимости счетчика учитываются по фактическим затратам в течение последних 12 месяцев, предшествующих месяцу обращения.";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w:t>
      </w:r>
      <w:r>
        <w:rPr>
          <w:rFonts w:ascii="Times New Roman"/>
          <w:b w:val="false"/>
          <w:i w:val="false"/>
          <w:color w:val="000000"/>
          <w:sz w:val="28"/>
        </w:rPr>
        <w:t xml:space="preserve">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Жилищная помощь определяется как разница между суммой оплаты расходов на содержание жилого дома (жилого здания),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(квартирах), индивидуальном жилом доме, в пределах норм и предельно-допустимого уровня расходов семьи(граждан) на эти цели.";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пункт</w:t>
      </w:r>
      <w:r>
        <w:rPr>
          <w:rFonts w:ascii="Times New Roman"/>
          <w:b w:val="false"/>
          <w:i w:val="false"/>
          <w:color w:val="000000"/>
          <w:sz w:val="28"/>
        </w:rPr>
        <w:t xml:space="preserve"> 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 Доля предельно допустимых расходов семьи устанавливается к совокупному доходу семьи в размере 9%.";</w:t>
      </w:r>
      <w:r>
        <w:br/>
      </w:r>
      <w:r>
        <w:rPr>
          <w:rFonts w:ascii="Times New Roman"/>
          <w:b w:val="false"/>
          <w:i w:val="false"/>
          <w:color w:val="000000"/>
          <w:sz w:val="28"/>
        </w:rPr>
        <w:t>
</w:t>
      </w:r>
      <w:r>
        <w:rPr>
          <w:rFonts w:ascii="Times New Roman"/>
          <w:b w:val="false"/>
          <w:i w:val="false"/>
          <w:color w:val="000000"/>
          <w:sz w:val="28"/>
        </w:rPr>
        <w:t>
      подпункт 4) </w:t>
      </w:r>
      <w:r>
        <w:rPr>
          <w:rFonts w:ascii="Times New Roman"/>
          <w:b w:val="false"/>
          <w:i w:val="false"/>
          <w:color w:val="000000"/>
          <w:sz w:val="28"/>
        </w:rPr>
        <w:t>пункта 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потребления электроэнергии в месяц – 90 кВт на каждого проживающего, для одиноко проживающих пенсионеров, инвалидов – 120 кВт, для индивидуальных жилых домов, отапливаемых посредством теплофонов, – 4200 кВт на дом;".</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за исключением абзацев восьмого, тринадцатого, четырнадцатого, двадцать первого пункта 1 настоящего решения и положений абзацев одиннадцатого, двадцать третьего пункта 1 настоящего решения об оказании жилищной помощи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устанавливаемого взамен однофазного счетчика электрической энергии с классом точности 2,5, находящегося в использовании в приватизированных жилых помещениях (квартирах), индивидуальном жилом доме, которые вводятся в действие с 1 июля 2012 года.</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Председатель сессии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Абакумов</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Секретарь городского маслихата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Головатюк</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