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e1e6" w14:textId="7b8e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ставках налога на земли, выделенные под автостоянки (паркинги)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декабря 2012 года N 10/66-V. Зарегистрировано Департаментом юстиции Восточно-Казахстанской области 18 января 2013 года за N 2828. Утратило силу - решением Курчатовского городского маслихата Восточно-Казахстанской области от 4 мая 2018 года № 20/153-VI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20/153-VI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Курчатовского городского маслихата Восточно-Казахстанской области от 20.03.2014 </w:t>
      </w:r>
      <w:r>
        <w:rPr>
          <w:rFonts w:ascii="Times New Roman"/>
          <w:b w:val="false"/>
          <w:i w:val="false"/>
          <w:color w:val="ff0000"/>
          <w:sz w:val="28"/>
        </w:rPr>
        <w:t>№ 21/153-V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категории автостоянок (паркингов) по городу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на государственном языке изложен в новой редакции, на русском языке не изменяется в соответствии с решением Курчатовского городского маслихата Восточно-Казахстанской области от 24.09.2014 </w:t>
      </w:r>
      <w:r>
        <w:rPr>
          <w:rFonts w:ascii="Times New Roman"/>
          <w:b w:val="false"/>
          <w:i w:val="false"/>
          <w:color w:val="000000"/>
          <w:sz w:val="28"/>
        </w:rPr>
        <w:t>№ 28/193-V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увеличение, в зависимости от категории автостоянок, размера базовых ставок на земли, выделенные под автостоянки (паркинги), подлежащие налогообложению по базовым ставкам на земли населенных пунктов, за исключением земель, занятых жилищным фондом, в том числе строениями и сооружениями при нем,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Определить город Курчатов близлежащим населенным пунктом, базовые ставки на земли, которого будут применяться при исчислении налога на земли других категорий, выделенные под автостоянки (паркинги).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10/66-V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городу Курчатов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8064"/>
        <w:gridCol w:w="2377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автостоянок (паркингов)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закрытого типа, автостоянки, расположенные под зданиями или в нижних надземных этажах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пристраиваемые к зданиям другого назначения, автостоянки встроенные в здания другого назначения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открытого типа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10/66-V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размера базовых ставок на земли, выделенные под</w:t>
      </w:r>
      <w:r>
        <w:br/>
      </w:r>
      <w:r>
        <w:rPr>
          <w:rFonts w:ascii="Times New Roman"/>
          <w:b/>
          <w:i w:val="false"/>
          <w:color w:val="000000"/>
        </w:rPr>
        <w:t>автостоянки (паркинги) в зависимости от категории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базовых ставок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