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9693" w14:textId="50c9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в городе Риддере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августа 2012 года N 505. Зарегистрировано Департаментом юстиции Восточно-Казахстанской области 27 сентября 2012 года за N 2676. Утратило силу - постановлением акимата города Риддера Восточно-Казахстанской области от 7 ноября 2017 года № 1035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07.11.2017 № 1035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Риддера Восточно-Казахстанской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территории города Риддера места для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выездной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Риддера Кагарманова С.В.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Риддера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Сапаргалиев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2012 года № 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 городе Риддере для осуществления выездной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мини-рынке "Огонек" в районе улицы Гоголя.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магазина "Огонек" по улице Гоголя.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центральном рынке четвертого 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магазина "Астана" по проспекту Независимости.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Между магазином "Глория" и государственным учреждением "Неполная средняя школа № 9" по улице Индустриальная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 автобусной остановки "Гостиница Алтай" по проспекту Независимости между домов № 8 и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 магазина "Аслан" по проспекту Независимости.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районе кафе "Рябинушка" по улице Гоголя.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районе магазина "Казахстан" четвертого 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 магазина "Реал" третьего 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 магазина "Арбат" третьего микрорайона.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районе автостанции у магазина "Старый город" по улице Кирова.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 автобусной остановки "Седьмое домоуправление".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районе площади четвертого района по улице Дреймана.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Вирайонеижелезнодорожногоивокзала.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