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103a" w14:textId="a55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апреля 2012 года N 2-10. Зарегистрировано Управлением юстиции Курчумского района Департамента юстиции Восточно-Казахстанской области 14 мая 2012 года № 5-14-156. Прекращено действие по истечении срока, на который решение было принято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Курчумского районного маслихата от 29.12.2012 № 215).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стоимости разовых талонов на 2012 год по Курчумскому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сентября 2011 года № 29-5 «О стоимости ставок разовых талонов» (зарегистрировано в Реестре государственной регистрации нормативных правовых актов за № 5-14-138 от 25 октября 2011 года, опубликовано в районной газете «Рауан» 3 ноября 2011 года № 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 по Курчумскому району,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 (для каждого</w:t>
      </w:r>
      <w:r>
        <w:br/>
      </w:r>
      <w:r>
        <w:rPr>
          <w:rFonts w:ascii="Times New Roman"/>
          <w:b/>
          <w:i w:val="false"/>
          <w:color w:val="000000"/>
        </w:rPr>
        <w:t>
продавца однодневная продажа,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480"/>
        <w:gridCol w:w="3903"/>
      </w:tblGrid>
      <w:tr>
        <w:trPr>
          <w:trHeight w:val="84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торговли и ассортимент товаров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разового талона на 1 день (в тенге)</w:t>
            </w:r>
          </w:p>
        </w:tc>
      </w:tr>
      <w:tr>
        <w:trPr>
          <w:trHeight w:val="28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товары: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 прилавка овощей, фруктов, в том числе бахчевых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напитки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семена с дачных участков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семена подсолнечника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5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фруктов, ягод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товары: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 прилавка менее 6 квадратных метров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06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 прилавка более 6 квадратных метров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тенге + дополнительно за каждый квадратный метр 30 тенге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хозяйства: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домашних животных, в том числе: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автомобилей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автомобилей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для граждан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оралманов, осуществляющих деятельность эпизодического характера</w:t>
      </w:r>
      <w:r>
        <w:br/>
      </w:r>
      <w:r>
        <w:rPr>
          <w:rFonts w:ascii="Times New Roman"/>
          <w:b/>
          <w:i w:val="false"/>
          <w:color w:val="000000"/>
        </w:rPr>
        <w:t>
по Курчумскому району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8763"/>
        <w:gridCol w:w="3156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разового талона на 1 день (в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земельных участков на личных тракторах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автомобилей: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кормами, сеном для животных с легковых автомобилей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кормами, сеном для животных с грузовых автомобилей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домашних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 продукция (газеты, журналы)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(фрукты, овощи, в том числе бахчевые) эпизодического характера: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 100 кг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свыше 100 кг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копченой рыбы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свежей рыбы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