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2f81" w14:textId="7532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декабря 2012 года № 259. Зарегистрировано Департаментом юстиции Западно-Казахстанской области 16 января 2013 года № 3151.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15.01.2014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от 11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информатизации"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архивов и документации Западно-Казахстанской области" (далее - Управление) обеспечить размещение настоящего регламента электронной государственной услуги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Сулеймена С.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29.12.2012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259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архивных справок"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"Выдача архивных справок" предоставляется непосредственно местными исполнительными органами Западно-Казахстанской области - государственным архивом Западно-Казахстанской области их филиалами и государственными районными архивами (далее - услугодатель), на альтернативной основе через центр обслуживания населения (далее – ЦОН) по месту жительства, а также через веб-портал "электронного правительства": www.e-gov.kz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"Выдача архивных справок",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"О внесении изменения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 и об утверждении стандартов государственных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"Выдача архивных справок"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(далее - МИО) – государственный архив Западно-Казахстанской области их филиалы и государственные районные архивы, непосредственно предоставляющие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местных исполнительных органов (далее - ИС МИО) - информационная система "Региональный шлюз, как подсистема шлюза "электронного правительства"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(далее – СФЕ) –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Национальный удостоверяющий центр Республики Казахстан (далее - НУЦ)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 (обслуживающее участников "электронного правительства", государственных и негосударственных информационных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центров обслуживания населения (далее - ИС ЦОН)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Региональный шлюз "электронного правительства" (далее – РШЭП) –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база данных "Физические лица" (далее – ГБД ФЛ)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государственная база данных "Юридические лица" (далее – ГБД ЮЛ)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ЕНИС – Единая нотариальная информационная система.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</w:t>
      </w:r>
      <w:r>
        <w:br/>
      </w:r>
      <w:r>
        <w:rPr>
          <w:rFonts w:ascii="Times New Roman"/>
          <w:b/>
          <w:i w:val="false"/>
          <w:color w:val="000000"/>
        </w:rPr>
        <w:t>
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11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о готовности архивной справки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ШЭП/РШЭП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(архивной справки)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(диаграмма № 3) функционального взаимодействия при оказании услуги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(введҰнных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8(7112) 50-90-27, по телефону саll–центра Портала: (1414).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Перечень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СФЕ с указанием срока выполнения каждого действия приведено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 приложении 2 (диаграммы № 1, 2, 3)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приложениях 3-5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 приложением 6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сохранность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наличие компьютера, выход в Интернет, авторизация ПЭП, наличие ЭЦП пользователя.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497"/>
        <w:gridCol w:w="1927"/>
        <w:gridCol w:w="2056"/>
        <w:gridCol w:w="2035"/>
        <w:gridCol w:w="1993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зуется на ПЭП по ИИН и пароля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ЭЦП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ЭЦП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сообщения об отказе 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сообщения об отказе 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рушения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бителя; 3 – 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бителя; 5 – если нарушений нет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539"/>
        <w:gridCol w:w="1954"/>
        <w:gridCol w:w="2100"/>
        <w:gridCol w:w="2079"/>
        <w:gridCol w:w="2018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битель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ЭЦП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в АРМ РШЭП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документа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сообщения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 (уведом-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 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архивной справки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бителя; 8 – если нарушений нет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539"/>
        <w:gridCol w:w="1954"/>
        <w:gridCol w:w="2100"/>
        <w:gridCol w:w="2079"/>
        <w:gridCol w:w="2018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на АРМ РШЭП через ИИН и пароля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дателя услуги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о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в ГБД ФЛ/ГБД ЮЛ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сообщения об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сутствии данных ГБД ФЛ/ГБД ЮЛ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запроса в системе 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воением номера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рушения; 5 – если нарушений нет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539"/>
        <w:gridCol w:w="1954"/>
        <w:gridCol w:w="2100"/>
        <w:gridCol w:w="2079"/>
        <w:gridCol w:w="2018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формы запроса с прикре-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плением сканиро-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верением ЭЦП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документа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рушениями в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 (архивной справки)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рушения; 8 – если нарушений нет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539"/>
        <w:gridCol w:w="1954"/>
        <w:gridCol w:w="2100"/>
        <w:gridCol w:w="2079"/>
        <w:gridCol w:w="2018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 ГБД ЮЛ, ЕНИС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оператор Центра по логину и паролю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в ГБД ФЛ/ ГБД ЮЛ, ЕНИС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можности получения данных в связи с 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запроса в системе 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воением номера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бителя; 5 – если нарушений нет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996"/>
        <w:gridCol w:w="2009"/>
        <w:gridCol w:w="2159"/>
        <w:gridCol w:w="2439"/>
        <w:gridCol w:w="2096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документа 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ренного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санного) ЭЦП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документа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 (архивной справки)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рушения; 9 – если нарушений нет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через ПЭП </w:t>
      </w: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Диаграмма № 2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9793"/>
      </w:tblGrid>
      <w:tr>
        <w:trPr>
          <w:trHeight w:val="6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5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5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5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5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5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4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Поток управления </w:t>
            </w:r>
          </w:p>
        </w:tc>
      </w:tr>
      <w:tr>
        <w:trPr>
          <w:trHeight w:val="5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Поток сообщений </w:t>
            </w:r>
          </w:p>
        </w:tc>
      </w:tr>
      <w:tr>
        <w:trPr>
          <w:trHeight w:val="46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анкеты-заявления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488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</w:t>
      </w:r>
      <w:r>
        <w:br/>
      </w:r>
      <w:r>
        <w:rPr>
          <w:rFonts w:ascii="Times New Roman"/>
          <w:b/>
          <w:i w:val="false"/>
          <w:color w:val="000000"/>
        </w:rPr>
        <w:t>
при обращении об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102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</w:t>
      </w:r>
      <w:r>
        <w:br/>
      </w:r>
      <w:r>
        <w:rPr>
          <w:rFonts w:ascii="Times New Roman"/>
          <w:b/>
          <w:i w:val="false"/>
          <w:color w:val="000000"/>
        </w:rPr>
        <w:t>
при обращении об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3"/>
        <w:gridCol w:w="3193"/>
      </w:tblGrid>
      <w:tr>
        <w:trPr>
          <w:trHeight w:val="30" w:hRule="atLeast"/>
        </w:trPr>
        <w:tc>
          <w:tcPr>
            <w:tcW w:w="8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14500" cy="876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сформирован системой электронного правительства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адрес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Доводим до вашего сведения, что в__________________________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учреждения,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выдавшего отказ в предоставлении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(Краткое изложение сути запрошенных потребителем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сведений, по которым выдается отказ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(выбор одного из двух вариантов: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"документы по запрашиваемой организации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государственное хранение не поступали"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"в документах организации запрашиваемые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обнаружены ввиду неполного состава документов")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должности       (Ф.И.О.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руководителя госучреждения)         госучреждения)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должности исполнителя) (Ф.И.О. исполнителя)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</w:t>
      </w:r>
      <w:r>
        <w:br/>
      </w:r>
      <w:r>
        <w:rPr>
          <w:rFonts w:ascii="Times New Roman"/>
          <w:b/>
          <w:i w:val="false"/>
          <w:color w:val="000000"/>
        </w:rPr>
        <w:t>
показателей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услуги: "качество" и "доступность"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