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1543" w14:textId="cca1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ральска от 15 декабря 2011 года № 3166 "Об организации и финансировании молодежной практики по городу Ураль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1 мая 2012 года № 1237. Зарегистрировано Департаментом юстиции Западно-Казахстанской области 21 июня 2012 года № 7-1-235. Утратило силу постановлением акимата города Уральска Западно-Казахстанской области от 31 января 2014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Уральска Западно-Казахстанской области от 31.01.2014 № 16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б организации и финансировании молодежной практики по городу Уральску" от 15 декабря 2011 года № 3166 (зарегистрированное в Реестре государственной регистрации нормативных правовых актов за № 7-1-224, опубликованное 19 января 2012 года в газете "Жайық үні" № 3 и 20 января 2011 года в газете "Пульс города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Дремасова В. 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Б. Ш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