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05da" w14:textId="03c0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по Жанибекскому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30 марта 2012 года № 58. Зарегистрировано Департаментом юстиции Западно-Казахстанской области 20 апреля 2012 года № 7-6-136. Утратило силу постановлением акимата Жанибекского района Западно-Казахстанской области от 28 декабря 2012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28.12.2012 № 283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населения", в целях осуществления мероприятий способствующих занятости населения,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Постановлением акимата Жанибекского района Западно-Казахстанской области от 18.05.2012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Финансирования мероприятия по проведению молодежной практики осуществлять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Карашина Р.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Есенгалиев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