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42f2" w14:textId="4cc4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по Зеленовскому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4 апреля 2012 года № 143. Зарегистрировано Департаментом юстиции Западно-Казахстанской области 3 мая 2012 года № 7-7-140. Утратило силу постановлением акимата Зеленовского района Западно-Казахстанской области от 4 января 2013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04.01.2013 № 50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населения", в целях осуществления мероприятий способствующих занятости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- Постановлением акимата Зеленовского района Западно-Казахстанской области от 22.06.2012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Финансирования мероприятия по проведению молодежной практики осуществлять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Кульжанову Г.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Унгарбеков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